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2A848" w14:textId="1357B890" w:rsidR="002B0EAA" w:rsidRDefault="002B0EAA" w:rsidP="002B0EAA">
      <w:pPr>
        <w:pStyle w:val="CRCoverPage"/>
        <w:tabs>
          <w:tab w:val="right" w:pos="9639"/>
        </w:tabs>
        <w:spacing w:after="0"/>
        <w:rPr>
          <w:b/>
          <w:i/>
          <w:noProof/>
          <w:sz w:val="28"/>
          <w:lang w:val="en-US"/>
        </w:rPr>
      </w:pPr>
      <w:r>
        <w:rPr>
          <w:b/>
          <w:noProof/>
          <w:sz w:val="24"/>
          <w:lang w:val="en-US"/>
        </w:rPr>
        <w:t xml:space="preserve">3GPP TSG-RAN4 Meeting </w:t>
      </w:r>
      <w:r w:rsidR="007E6107">
        <w:rPr>
          <w:b/>
          <w:noProof/>
          <w:sz w:val="24"/>
          <w:lang w:val="en-US"/>
        </w:rPr>
        <w:t>88</w:t>
      </w:r>
      <w:r>
        <w:rPr>
          <w:b/>
          <w:i/>
          <w:noProof/>
          <w:sz w:val="24"/>
          <w:lang w:val="en-US"/>
        </w:rPr>
        <w:t xml:space="preserve"> </w:t>
      </w:r>
      <w:r>
        <w:rPr>
          <w:b/>
          <w:i/>
          <w:noProof/>
          <w:sz w:val="28"/>
          <w:lang w:val="en-US"/>
        </w:rPr>
        <w:tab/>
        <w:t>R4-18</w:t>
      </w:r>
      <w:r w:rsidR="004213D9">
        <w:rPr>
          <w:b/>
          <w:i/>
          <w:noProof/>
          <w:sz w:val="28"/>
          <w:lang w:val="en-US"/>
        </w:rPr>
        <w:t>10911</w:t>
      </w:r>
    </w:p>
    <w:p w14:paraId="758EC445" w14:textId="77777777" w:rsidR="002B0EAA" w:rsidRDefault="002B0EAA" w:rsidP="002B0EAA">
      <w:pPr>
        <w:pStyle w:val="CRCoverPage"/>
        <w:outlineLvl w:val="0"/>
        <w:rPr>
          <w:b/>
          <w:noProof/>
          <w:sz w:val="24"/>
          <w:lang w:val="en-US"/>
        </w:rPr>
      </w:pPr>
      <w:r>
        <w:rPr>
          <w:b/>
          <w:noProof/>
          <w:sz w:val="24"/>
          <w:lang w:val="en-US"/>
        </w:rPr>
        <w:t>Gothenburg, Sweden, 20</w:t>
      </w:r>
      <w:r>
        <w:rPr>
          <w:b/>
          <w:noProof/>
          <w:sz w:val="24"/>
          <w:vertAlign w:val="superscript"/>
          <w:lang w:val="en-US"/>
        </w:rPr>
        <w:t>th</w:t>
      </w:r>
      <w:r>
        <w:rPr>
          <w:b/>
          <w:noProof/>
          <w:sz w:val="24"/>
          <w:lang w:val="en-US"/>
        </w:rPr>
        <w:t xml:space="preserve"> – 24</w:t>
      </w:r>
      <w:r>
        <w:rPr>
          <w:b/>
          <w:noProof/>
          <w:sz w:val="24"/>
          <w:vertAlign w:val="superscript"/>
          <w:lang w:val="en-US"/>
        </w:rPr>
        <w:t>th</w:t>
      </w:r>
      <w:r>
        <w:rPr>
          <w:b/>
          <w:noProof/>
          <w:sz w:val="24"/>
          <w:lang w:val="en-US"/>
        </w:rPr>
        <w:t xml:space="preserve"> August 2018</w:t>
      </w:r>
    </w:p>
    <w:p w14:paraId="3C2E1EFC" w14:textId="77777777" w:rsidR="002B0EAA" w:rsidRPr="008D7821" w:rsidRDefault="002B0EAA" w:rsidP="002B0EAA">
      <w:pPr>
        <w:pStyle w:val="CRCoverPage"/>
        <w:spacing w:after="0"/>
        <w:rPr>
          <w:noProof/>
          <w:sz w:val="8"/>
          <w:szCs w:val="8"/>
          <w:lang w:val="en-US"/>
        </w:rPr>
      </w:pPr>
    </w:p>
    <w:p w14:paraId="00D46452" w14:textId="77777777" w:rsidR="00935C19" w:rsidRPr="00CD5405" w:rsidRDefault="00935C19" w:rsidP="00935C19">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6F194499" w14:textId="51EEA1BB" w:rsidR="00935C19" w:rsidRDefault="00935C19" w:rsidP="00935C19">
      <w:pPr>
        <w:spacing w:after="120"/>
        <w:ind w:left="1985" w:hanging="1985"/>
        <w:rPr>
          <w:rFonts w:ascii="Arial" w:hAnsi="Arial" w:cs="Arial"/>
          <w:bCs/>
          <w:color w:val="FF0000"/>
        </w:rPr>
      </w:pPr>
      <w:r>
        <w:rPr>
          <w:rFonts w:ascii="Arial" w:hAnsi="Arial" w:cs="Arial"/>
          <w:b/>
        </w:rPr>
        <w:t>Title:</w:t>
      </w:r>
      <w:r>
        <w:rPr>
          <w:rFonts w:ascii="Arial" w:hAnsi="Arial" w:cs="Arial"/>
          <w:b/>
        </w:rPr>
        <w:tab/>
      </w:r>
      <w:r w:rsidR="007E6107">
        <w:rPr>
          <w:rFonts w:ascii="Arial" w:hAnsi="Arial" w:cs="Arial"/>
          <w:bCs/>
          <w:lang w:val="en-US"/>
        </w:rPr>
        <w:t xml:space="preserve">Background to </w:t>
      </w:r>
      <w:r w:rsidR="00E04001">
        <w:rPr>
          <w:rFonts w:ascii="Arial" w:hAnsi="Arial" w:cs="Arial"/>
          <w:bCs/>
          <w:lang w:val="en-US"/>
        </w:rPr>
        <w:t>systematic correction factor for TRP</w:t>
      </w:r>
    </w:p>
    <w:p w14:paraId="3769A53C" w14:textId="16E02D2D" w:rsidR="00935C19" w:rsidRPr="00BA7D5A" w:rsidRDefault="00935C19" w:rsidP="00935C19">
      <w:pPr>
        <w:spacing w:after="120"/>
        <w:ind w:left="1985" w:hanging="1985"/>
        <w:rPr>
          <w:rFonts w:ascii="Arial" w:hAnsi="Arial" w:cs="Arial"/>
          <w:bCs/>
          <w:color w:val="FF0000"/>
          <w:lang w:val="en-US"/>
        </w:rPr>
      </w:pPr>
      <w:r w:rsidRPr="00BA7D5A">
        <w:rPr>
          <w:rFonts w:ascii="Arial" w:hAnsi="Arial" w:cs="Arial"/>
          <w:b/>
          <w:lang w:val="en-US"/>
        </w:rPr>
        <w:t>Agenda item:</w:t>
      </w:r>
      <w:r w:rsidRPr="00BA7D5A">
        <w:rPr>
          <w:rFonts w:ascii="Arial" w:hAnsi="Arial" w:cs="Arial"/>
          <w:b/>
          <w:lang w:val="en-US"/>
        </w:rPr>
        <w:tab/>
      </w:r>
      <w:r w:rsidR="00D307F4">
        <w:rPr>
          <w:rFonts w:ascii="Arial" w:hAnsi="Arial" w:cs="Arial"/>
          <w:b/>
          <w:lang w:val="en-US"/>
        </w:rPr>
        <w:t>6.1.3.4.1</w:t>
      </w:r>
    </w:p>
    <w:p w14:paraId="6AF4B35B" w14:textId="431D7EBE" w:rsidR="00935C19" w:rsidRDefault="00935C19" w:rsidP="00935C19">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0C6BF2">
        <w:rPr>
          <w:rFonts w:ascii="Arial" w:hAnsi="Arial" w:cs="Arial"/>
        </w:rPr>
        <w:t>Discussion</w:t>
      </w:r>
      <w:bookmarkStart w:id="0" w:name="_GoBack"/>
      <w:bookmarkEnd w:id="0"/>
    </w:p>
    <w:p w14:paraId="48918B9D" w14:textId="77777777" w:rsidR="00935C19" w:rsidRDefault="00935C19" w:rsidP="00935C19">
      <w:pPr>
        <w:pBdr>
          <w:bottom w:val="single" w:sz="4" w:space="1" w:color="auto"/>
        </w:pBdr>
        <w:rPr>
          <w:rFonts w:ascii="Arial" w:hAnsi="Arial" w:cs="Arial"/>
        </w:rPr>
      </w:pPr>
    </w:p>
    <w:p w14:paraId="12A5F30F" w14:textId="77777777" w:rsidR="00935C19" w:rsidRDefault="00935C19" w:rsidP="008D7821">
      <w:pPr>
        <w:pStyle w:val="Heading1"/>
        <w:keepLines w:val="0"/>
        <w:pBdr>
          <w:top w:val="none" w:sz="0" w:space="0" w:color="auto"/>
        </w:pBdr>
        <w:spacing w:before="0" w:after="240"/>
        <w:ind w:right="284"/>
      </w:pPr>
      <w:r>
        <w:t>Introduction</w:t>
      </w:r>
    </w:p>
    <w:p w14:paraId="02CD0726" w14:textId="09ADAE91" w:rsidR="00294427" w:rsidRDefault="00294427" w:rsidP="008D7821">
      <w:pPr>
        <w:ind w:left="360"/>
      </w:pPr>
      <w:r>
        <w:t xml:space="preserve">Based on </w:t>
      </w:r>
      <w:r w:rsidR="004058B3">
        <w:t xml:space="preserve">feedback on </w:t>
      </w:r>
      <w:r>
        <w:t>[1-2] we provide some examples and give some background to the concept of systematic correction factor for TRP and its dependence on the angular sampling and correlation.</w:t>
      </w:r>
    </w:p>
    <w:p w14:paraId="506771ED" w14:textId="3379483E" w:rsidR="002B0EAA" w:rsidRDefault="002B0EAA" w:rsidP="002B0EAA"/>
    <w:p w14:paraId="4ED53BA7" w14:textId="6EF2F0DB" w:rsidR="00415DA8" w:rsidRDefault="00415DA8" w:rsidP="008D7821">
      <w:pPr>
        <w:pStyle w:val="Heading1"/>
      </w:pPr>
      <w:r>
        <w:t>Background</w:t>
      </w:r>
    </w:p>
    <w:p w14:paraId="0B1B211B" w14:textId="2C075E41" w:rsidR="00087F3B" w:rsidRDefault="00563E09" w:rsidP="002B0EAA">
      <w:r>
        <w:t>Any radiation can be modelled as a superpo</w:t>
      </w:r>
      <w:r w:rsidR="00590411">
        <w:t>sition of the radiated fields from a set of sources. The</w:t>
      </w:r>
      <w:r w:rsidR="00A17A08">
        <w:t xml:space="preserve"> sources</w:t>
      </w:r>
      <w:r w:rsidR="00590411">
        <w:t xml:space="preserve"> may be antenna elements or simply short current elements</w:t>
      </w:r>
      <w:r w:rsidR="002841BA">
        <w:t xml:space="preserve">. For simplicity we assume that the radiation is identical </w:t>
      </w:r>
      <w:r w:rsidR="00087F3B">
        <w:t>for all sources. Hence</w:t>
      </w:r>
      <w:r w:rsidR="004D4B4D">
        <w:t>,</w:t>
      </w:r>
      <w:r w:rsidR="00087F3B">
        <w:t xml:space="preserve"> we can write</w:t>
      </w:r>
      <w:r w:rsidR="0095694D">
        <w:t xml:space="preserve"> the radiation as a product of an element factor and an array factor, namely</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1131"/>
      </w:tblGrid>
      <w:tr w:rsidR="00D9207B" w14:paraId="2D334FB6" w14:textId="77777777" w:rsidTr="008D7821">
        <w:trPr>
          <w:jc w:val="center"/>
        </w:trPr>
        <w:tc>
          <w:tcPr>
            <w:tcW w:w="8500" w:type="dxa"/>
            <w:vAlign w:val="center"/>
          </w:tcPr>
          <w:p w14:paraId="515C3689" w14:textId="01412B6E" w:rsidR="00D9207B" w:rsidRDefault="00D9207B" w:rsidP="00CC1B0F">
            <w:pPr>
              <w:jc w:val="center"/>
            </w:pPr>
            <w:r w:rsidRPr="00CC1B0F">
              <w:rPr>
                <w:noProof/>
              </w:rPr>
              <w:drawing>
                <wp:inline distT="0" distB="0" distL="0" distR="0" wp14:anchorId="3C2BD9D4" wp14:editId="79505CB3">
                  <wp:extent cx="2181225" cy="31837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250144" cy="328429"/>
                          </a:xfrm>
                          <a:prstGeom prst="rect">
                            <a:avLst/>
                          </a:prstGeom>
                        </pic:spPr>
                      </pic:pic>
                    </a:graphicData>
                  </a:graphic>
                </wp:inline>
              </w:drawing>
            </w:r>
          </w:p>
        </w:tc>
        <w:tc>
          <w:tcPr>
            <w:tcW w:w="1131" w:type="dxa"/>
            <w:vAlign w:val="center"/>
          </w:tcPr>
          <w:p w14:paraId="59A51569" w14:textId="2811E794" w:rsidR="00D9207B" w:rsidRDefault="00D9207B">
            <w:pPr>
              <w:jc w:val="center"/>
            </w:pPr>
            <w:r>
              <w:t>(1)</w:t>
            </w:r>
          </w:p>
        </w:tc>
      </w:tr>
    </w:tbl>
    <w:p w14:paraId="4C228354" w14:textId="4DEBFCCC" w:rsidR="00087F3B" w:rsidRDefault="00DB58BA">
      <w:r>
        <w:t xml:space="preserve">Here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elem</m:t>
            </m:r>
          </m:sub>
        </m:sSub>
      </m:oMath>
      <w:r w:rsidR="00F24510">
        <w:t xml:space="preserve"> is the element radiation patter</w:t>
      </w:r>
      <w:r w:rsidR="006C29E9">
        <w:t>n</w:t>
      </w:r>
      <w:r w:rsidR="00F24510">
        <w:t xml:space="preserve">, </w:t>
      </w:r>
      <m:oMath>
        <m:sSub>
          <m:sSubPr>
            <m:ctrlPr>
              <w:rPr>
                <w:rFonts w:ascii="Cambria Math" w:hAnsi="Cambria Math"/>
                <w:i/>
              </w:rPr>
            </m:ctrlPr>
          </m:sSubPr>
          <m:e>
            <m:r>
              <w:rPr>
                <w:rFonts w:ascii="Cambria Math" w:hAnsi="Cambria Math"/>
              </w:rPr>
              <m:t>w</m:t>
            </m:r>
          </m:e>
          <m:sub>
            <m:r>
              <w:rPr>
                <w:rFonts w:ascii="Cambria Math" w:hAnsi="Cambria Math"/>
              </w:rPr>
              <m:t>n</m:t>
            </m:r>
          </m:sub>
        </m:sSub>
      </m:oMath>
      <w:r w:rsidR="00BD7DE0">
        <w:tab/>
      </w:r>
      <w:r w:rsidR="00F24510">
        <w:t>are complex valued weights</w:t>
      </w:r>
      <w:r w:rsidR="00DB2105">
        <w:t xml:space="preserve">, </w:t>
      </w:r>
      <m:oMath>
        <m:r>
          <w:rPr>
            <w:rFonts w:ascii="Cambria Math" w:hAnsi="Cambria Math"/>
          </w:rPr>
          <m:t>k=2π/λ</m:t>
        </m:r>
      </m:oMath>
      <w:r w:rsidR="00DB2105">
        <w:t xml:space="preserve"> is the wavenumber, </w:t>
      </w:r>
      <w:r w:rsidR="006256A1">
        <w:t> </w:t>
      </w:r>
      <m:oMath>
        <m:acc>
          <m:accPr>
            <m:ctrlPr>
              <w:rPr>
                <w:rFonts w:ascii="Cambria Math" w:hAnsi="Cambria Math"/>
                <w:i/>
              </w:rPr>
            </m:ctrlPr>
          </m:accPr>
          <m:e>
            <m:r>
              <w:rPr>
                <w:rFonts w:ascii="Cambria Math" w:hAnsi="Cambria Math"/>
              </w:rPr>
              <m:t>r</m:t>
            </m:r>
          </m:e>
        </m:acc>
        <m:d>
          <m:dPr>
            <m:ctrlPr>
              <w:rPr>
                <w:rFonts w:ascii="Cambria Math" w:hAnsi="Cambria Math"/>
                <w:i/>
              </w:rPr>
            </m:ctrlPr>
          </m:dPr>
          <m:e>
            <m:r>
              <w:rPr>
                <w:rFonts w:ascii="Cambria Math" w:hAnsi="Cambria Math"/>
              </w:rPr>
              <m:t>θ,ϕ</m:t>
            </m:r>
          </m:e>
        </m:d>
      </m:oMath>
      <w:r w:rsidR="00226F69">
        <w:t xml:space="preserve"> is the direction of radiation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n</m:t>
            </m:r>
          </m:sub>
        </m:sSub>
      </m:oMath>
      <w:r w:rsidR="00226F69">
        <w:t xml:space="preserve"> is the three-dimensional position of source </w:t>
      </w:r>
      <m:oMath>
        <m:r>
          <w:rPr>
            <w:rFonts w:ascii="Cambria Math" w:hAnsi="Cambria Math"/>
          </w:rPr>
          <m:t>n</m:t>
        </m:r>
      </m:oMath>
      <w:r w:rsidR="00887203">
        <w:t>.</w:t>
      </w:r>
    </w:p>
    <w:p w14:paraId="7EC1080B" w14:textId="66B904CD" w:rsidR="008C60DE" w:rsidRDefault="00CC1B0F" w:rsidP="002B0EAA">
      <w:r>
        <w:t xml:space="preserve">For intended radiation </w:t>
      </w:r>
      <w:r w:rsidR="003F419D">
        <w:t xml:space="preserve">the antenna weights </w:t>
      </w:r>
      <m:oMath>
        <m:sSub>
          <m:sSubPr>
            <m:ctrlPr>
              <w:rPr>
                <w:rFonts w:ascii="Cambria Math" w:hAnsi="Cambria Math"/>
                <w:i/>
              </w:rPr>
            </m:ctrlPr>
          </m:sSubPr>
          <m:e>
            <m:r>
              <w:rPr>
                <w:rFonts w:ascii="Cambria Math" w:hAnsi="Cambria Math"/>
              </w:rPr>
              <m:t>w</m:t>
            </m:r>
          </m:e>
          <m:sub>
            <m:r>
              <w:rPr>
                <w:rFonts w:ascii="Cambria Math" w:hAnsi="Cambria Math"/>
              </w:rPr>
              <m:t>n</m:t>
            </m:r>
          </m:sub>
        </m:sSub>
      </m:oMath>
      <w:r w:rsidR="0095694D">
        <w:t xml:space="preserve"> </w:t>
      </w:r>
      <w:r w:rsidR="003F419D">
        <w:t xml:space="preserve">are </w:t>
      </w:r>
      <w:r w:rsidR="00C27EB3">
        <w:t xml:space="preserve">often </w:t>
      </w:r>
      <w:r w:rsidR="003F419D">
        <w:t xml:space="preserve">designed to </w:t>
      </w:r>
      <w:r w:rsidR="00887203">
        <w:t>get</w:t>
      </w:r>
      <w:r w:rsidR="003F419D">
        <w:t xml:space="preserve"> a high beam-forming gain (peak to average ratio)</w:t>
      </w:r>
      <w:r w:rsidR="00887203">
        <w:t xml:space="preserve"> for the combined pattern</w:t>
      </w:r>
      <w:r w:rsidR="000C1084">
        <w:t xml:space="preserve">. For un-intended radiation the antenna weights </w:t>
      </w:r>
      <w:r w:rsidR="008345B1">
        <w:t xml:space="preserve">have random character resulting in </w:t>
      </w:r>
      <w:r w:rsidR="00BC3BF0">
        <w:t xml:space="preserve">a small or no beam-forming gain. </w:t>
      </w:r>
      <w:r w:rsidR="00C27EB3">
        <w:t>C</w:t>
      </w:r>
      <w:r w:rsidR="0087156D">
        <w:t xml:space="preserve">lassical analysis </w:t>
      </w:r>
      <w:r w:rsidR="00C27EB3">
        <w:t>of random excitation</w:t>
      </w:r>
      <w:r w:rsidR="0087156D">
        <w:t xml:space="preserve"> </w:t>
      </w:r>
      <w:r w:rsidR="00C27EB3">
        <w:t>of antenna arrays</w:t>
      </w:r>
      <w:r w:rsidR="000C64DA">
        <w:t xml:space="preserve"> can be found in</w:t>
      </w:r>
      <w:r w:rsidR="0087156D">
        <w:t xml:space="preserve"> </w:t>
      </w:r>
      <w:r w:rsidR="005F61E1">
        <w:t>[3-4]</w:t>
      </w:r>
      <w:r w:rsidR="007823DE">
        <w:t xml:space="preserve"> used for array tolerance modelling. </w:t>
      </w:r>
      <w:r w:rsidR="000C64DA">
        <w:t>In these studies</w:t>
      </w:r>
      <w:r w:rsidR="007823DE">
        <w:t xml:space="preserve">, the antenna weights are </w:t>
      </w:r>
      <w:r w:rsidR="00DC77E8">
        <w:t>modelled as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1131"/>
      </w:tblGrid>
      <w:tr w:rsidR="00D9207B" w14:paraId="7AE8595E" w14:textId="77777777" w:rsidTr="008D7821">
        <w:trPr>
          <w:jc w:val="center"/>
        </w:trPr>
        <w:tc>
          <w:tcPr>
            <w:tcW w:w="8500" w:type="dxa"/>
            <w:vAlign w:val="center"/>
          </w:tcPr>
          <w:p w14:paraId="349B4658" w14:textId="7AF16025" w:rsidR="00D9207B" w:rsidRDefault="00D9207B" w:rsidP="00DE7092">
            <w:pPr>
              <w:jc w:val="center"/>
            </w:pPr>
            <w:r w:rsidRPr="00DE7092">
              <w:rPr>
                <w:noProof/>
              </w:rPr>
              <w:drawing>
                <wp:inline distT="0" distB="0" distL="0" distR="0" wp14:anchorId="19025864" wp14:editId="0A05AC01">
                  <wp:extent cx="1666875" cy="14074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849699" cy="156180"/>
                          </a:xfrm>
                          <a:prstGeom prst="rect">
                            <a:avLst/>
                          </a:prstGeom>
                        </pic:spPr>
                      </pic:pic>
                    </a:graphicData>
                  </a:graphic>
                </wp:inline>
              </w:drawing>
            </w:r>
          </w:p>
        </w:tc>
        <w:tc>
          <w:tcPr>
            <w:tcW w:w="1131" w:type="dxa"/>
            <w:vAlign w:val="center"/>
          </w:tcPr>
          <w:p w14:paraId="43E67376" w14:textId="39654C8B" w:rsidR="00D9207B" w:rsidRDefault="00D9207B" w:rsidP="00DE7092">
            <w:pPr>
              <w:jc w:val="center"/>
            </w:pPr>
            <w:r>
              <w:t>(2)</w:t>
            </w:r>
          </w:p>
        </w:tc>
      </w:tr>
    </w:tbl>
    <w:p w14:paraId="2C54FECF" w14:textId="36884A38" w:rsidR="00DC77E8" w:rsidRDefault="00DC77E8" w:rsidP="008D7821">
      <w:r>
        <w:t xml:space="preserve">Here </w:t>
      </w:r>
      <m:oMath>
        <m:sSub>
          <m:sSubPr>
            <m:ctrlPr>
              <w:rPr>
                <w:rFonts w:ascii="Cambria Math" w:hAnsi="Cambria Math"/>
                <w:i/>
              </w:rPr>
            </m:ctrlPr>
          </m:sSubPr>
          <m:e>
            <m:r>
              <w:rPr>
                <w:rFonts w:ascii="Cambria Math" w:hAnsi="Cambria Math"/>
              </w:rPr>
              <m:t>r</m:t>
            </m:r>
          </m:e>
          <m:sub>
            <m:r>
              <w:rPr>
                <w:rFonts w:ascii="Cambria Math" w:hAnsi="Cambria Math"/>
              </w:rPr>
              <m:t>n</m:t>
            </m:r>
          </m:sub>
        </m:sSub>
      </m:oMath>
      <w:r w:rsidR="00AF2BE8">
        <w:t xml:space="preserve"> </w:t>
      </w:r>
      <w:r>
        <w:t xml:space="preserve">is a stochastic variable with unit mean </w:t>
      </w:r>
      <w:r w:rsidR="0095694D">
        <w:t xml:space="preserve">and </w:t>
      </w:r>
      <w:r w:rsidR="007C494C">
        <w:t>standard</w:t>
      </w:r>
      <w:r w:rsidR="00045D7E">
        <w:t xml:space="preserve"> deviation </w:t>
      </w:r>
      <m:oMath>
        <m:sSub>
          <m:sSubPr>
            <m:ctrlPr>
              <w:rPr>
                <w:rFonts w:ascii="Cambria Math" w:hAnsi="Cambria Math"/>
                <w:i/>
              </w:rPr>
            </m:ctrlPr>
          </m:sSubPr>
          <m:e>
            <m:r>
              <w:rPr>
                <w:rFonts w:ascii="Cambria Math" w:hAnsi="Cambria Math"/>
              </w:rPr>
              <m:t>σ</m:t>
            </m:r>
          </m:e>
          <m:sub>
            <m:r>
              <w:rPr>
                <w:rFonts w:ascii="Cambria Math" w:hAnsi="Cambria Math"/>
              </w:rPr>
              <m:t>A</m:t>
            </m:r>
          </m:sub>
        </m:sSub>
      </m:oMath>
      <w:r w:rsidR="00AF2BE8">
        <w:t xml:space="preserve"> </w:t>
      </w:r>
      <w:r>
        <w:t xml:space="preserve">and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n</m:t>
            </m:r>
          </m:sub>
        </m:sSub>
      </m:oMath>
      <w:r>
        <w:t xml:space="preserve"> is a stochastic</w:t>
      </w:r>
      <w:r w:rsidR="0095694D">
        <w:t xml:space="preserve"> phase error</w:t>
      </w:r>
      <w:r w:rsidR="00E20347">
        <w:t xml:space="preserve">. The expectation value </w:t>
      </w:r>
      <m:oMath>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F</m:t>
                        </m:r>
                      </m:e>
                    </m:acc>
                  </m:e>
                </m:d>
              </m:e>
              <m:sup>
                <m:r>
                  <w:rPr>
                    <w:rFonts w:ascii="Cambria Math" w:hAnsi="Cambria Math"/>
                  </w:rPr>
                  <m:t>2</m:t>
                </m:r>
              </m:sup>
            </m:sSup>
          </m:e>
        </m:d>
      </m:oMath>
      <w:r w:rsidR="00BD7DE0">
        <w:t xml:space="preserve"> </w:t>
      </w:r>
      <w:r w:rsidR="00E20347">
        <w:t>of the power pattern can be written as</w:t>
      </w:r>
      <w:r w:rsidR="00BD7DE0">
        <w:t xml:space="preserve"> [3-4]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1131"/>
      </w:tblGrid>
      <w:tr w:rsidR="00D9207B" w14:paraId="6A345D93" w14:textId="77777777" w:rsidTr="008D7821">
        <w:tc>
          <w:tcPr>
            <w:tcW w:w="8500" w:type="dxa"/>
          </w:tcPr>
          <w:p w14:paraId="4B4CBCCA" w14:textId="5553614D" w:rsidR="00D9207B" w:rsidRDefault="00D9207B" w:rsidP="00622553">
            <w:pPr>
              <w:jc w:val="center"/>
            </w:pPr>
            <w:r w:rsidRPr="00622553">
              <w:rPr>
                <w:noProof/>
              </w:rPr>
              <w:drawing>
                <wp:inline distT="0" distB="0" distL="0" distR="0" wp14:anchorId="7AC89CD6" wp14:editId="7D35C416">
                  <wp:extent cx="3400425" cy="162642"/>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57808" cy="179736"/>
                          </a:xfrm>
                          <a:prstGeom prst="rect">
                            <a:avLst/>
                          </a:prstGeom>
                        </pic:spPr>
                      </pic:pic>
                    </a:graphicData>
                  </a:graphic>
                </wp:inline>
              </w:drawing>
            </w:r>
          </w:p>
        </w:tc>
        <w:tc>
          <w:tcPr>
            <w:tcW w:w="1131" w:type="dxa"/>
          </w:tcPr>
          <w:p w14:paraId="59F369F2" w14:textId="05730480" w:rsidR="00D9207B" w:rsidRDefault="00D9207B">
            <w:pPr>
              <w:jc w:val="center"/>
            </w:pPr>
            <w:r>
              <w:t>(3)</w:t>
            </w:r>
          </w:p>
        </w:tc>
      </w:tr>
    </w:tbl>
    <w:p w14:paraId="62E02375" w14:textId="5FC4EA90" w:rsidR="00E20347" w:rsidRDefault="004D1A27" w:rsidP="00DC77E8">
      <w:pPr>
        <w:jc w:val="both"/>
      </w:pPr>
      <w:r>
        <w:t>T</w:t>
      </w:r>
      <w:r w:rsidR="00BD7DE0">
        <w:t xml:space="preserve">he </w:t>
      </w:r>
      <w:r>
        <w:t xml:space="preserve">radiated </w:t>
      </w:r>
      <w:r w:rsidR="00BD7DE0">
        <w:t xml:space="preserve">power is normalized by using </w:t>
      </w:r>
      <m:oMath>
        <m:nary>
          <m:naryPr>
            <m:chr m:val="∑"/>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a</m:t>
                </m:r>
              </m:e>
              <m:sub>
                <m:r>
                  <w:rPr>
                    <w:rFonts w:ascii="Cambria Math" w:hAnsi="Cambria Math"/>
                  </w:rPr>
                  <m:t>n</m:t>
                </m:r>
              </m:sub>
              <m:sup>
                <m:r>
                  <w:rPr>
                    <w:rFonts w:ascii="Cambria Math" w:hAnsi="Cambria Math"/>
                  </w:rPr>
                  <m:t>2</m:t>
                </m:r>
              </m:sup>
            </m:sSubSup>
          </m:e>
        </m:nary>
        <m:r>
          <w:rPr>
            <w:rFonts w:ascii="Cambria Math" w:hAnsi="Cambria Math"/>
          </w:rPr>
          <m:t>=1</m:t>
        </m:r>
      </m:oMath>
      <w:r w:rsidR="001216BD">
        <w:t xml:space="preserve"> </w:t>
      </w:r>
      <w:r w:rsidR="00A026DA">
        <w:t>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array</m:t>
            </m:r>
          </m:sub>
        </m:sSub>
      </m:oMath>
      <w:r w:rsidR="00A026DA">
        <w:t xml:space="preserve"> is the </w:t>
      </w:r>
      <w:r w:rsidR="00BD7DE0">
        <w:t xml:space="preserve">fully correlated </w:t>
      </w:r>
      <w:r w:rsidR="00A026DA">
        <w:t xml:space="preserve">array field with full beam forming gain i.e. </w:t>
      </w:r>
      <m:oMath>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=1</m:t>
        </m:r>
      </m:oMath>
      <w:r w:rsidR="00A026DA">
        <w:t xml:space="preserve"> and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n</m:t>
            </m:r>
          </m:sub>
        </m:sSub>
        <m:r>
          <w:rPr>
            <w:rFonts w:ascii="Cambria Math" w:hAnsi="Cambria Math"/>
          </w:rPr>
          <m:t>=0</m:t>
        </m:r>
      </m:oMath>
      <w:r w:rsidR="00A026DA">
        <w:t xml:space="preserve">. </w:t>
      </w:r>
      <w:r w:rsidR="00776CD4">
        <w:t>As seen in (3)</w:t>
      </w:r>
      <w:r w:rsidR="00A026DA">
        <w:t xml:space="preserve"> the expectation value of the </w:t>
      </w:r>
      <w:r w:rsidR="00776CD4">
        <w:t xml:space="preserve">power </w:t>
      </w:r>
      <w:r w:rsidR="00A026DA">
        <w:t>pattern is a combination of the element pattern and the fully beam</w:t>
      </w:r>
      <w:r w:rsidR="0095694D">
        <w:t>-</w:t>
      </w:r>
      <w:r w:rsidR="00A026DA">
        <w:t xml:space="preserve">formed pattern. For fully correlated weights </w:t>
      </w:r>
      <m:oMath>
        <m:sSub>
          <m:sSubPr>
            <m:ctrlPr>
              <w:rPr>
                <w:rFonts w:ascii="Cambria Math" w:hAnsi="Cambria Math"/>
                <w:i/>
              </w:rPr>
            </m:ctrlPr>
          </m:sSubPr>
          <m:e>
            <m:r>
              <w:rPr>
                <w:rFonts w:ascii="Cambria Math" w:hAnsi="Cambria Math"/>
              </w:rPr>
              <m:t>σ</m:t>
            </m:r>
          </m:e>
          <m:sub>
            <m:r>
              <w:rPr>
                <w:rFonts w:ascii="Cambria Math" w:hAnsi="Cambria Math"/>
              </w:rPr>
              <m:t>A</m:t>
            </m:r>
          </m:sub>
        </m:sSub>
        <m:r>
          <w:rPr>
            <w:rFonts w:ascii="Cambria Math" w:hAnsi="Cambria Math"/>
          </w:rPr>
          <m:t>=0</m:t>
        </m:r>
      </m:oMath>
      <w:r w:rsidR="00BD7DE0">
        <w:t xml:space="preserve"> and </w:t>
      </w:r>
      <m:oMath>
        <m:r>
          <m:rPr>
            <m:sty m:val="p"/>
          </m:rPr>
          <w:rPr>
            <w:rFonts w:ascii="Cambria Math" w:hAnsi="Cambria Math"/>
          </w:rPr>
          <m:t>Δ</m:t>
        </m:r>
        <m:r>
          <w:rPr>
            <w:rFonts w:ascii="Cambria Math" w:hAnsi="Cambria Math"/>
          </w:rPr>
          <m:t xml:space="preserve">=0 </m:t>
        </m:r>
      </m:oMath>
      <w:r w:rsidR="00BD7DE0">
        <w:t>the first term vanishes identically</w:t>
      </w:r>
      <w:r w:rsidR="002D6F9D">
        <w:t xml:space="preserve"> and the full-beamformed array pattern</w:t>
      </w:r>
      <w:r w:rsidR="00782982">
        <w:t xml:space="preserve"> remains</w:t>
      </w:r>
      <w:r w:rsidR="00BD7DE0">
        <w:t>. F</w:t>
      </w:r>
      <w:r w:rsidR="00A026DA">
        <w:t>or large random errors the element factor is dominant. In the context of TRP and angular sampling</w:t>
      </w:r>
      <w:r w:rsidR="0095694D">
        <w:t>,</w:t>
      </w:r>
      <w:r w:rsidR="00A026DA">
        <w:t xml:space="preserve"> a trend from a need for dense sampling for correlated sources to sparser sampling for uncorrelated sources is </w:t>
      </w:r>
      <w:r w:rsidR="00BD7DE0">
        <w:t xml:space="preserve">therefore </w:t>
      </w:r>
      <w:r w:rsidR="00A026DA">
        <w:t>expected.</w:t>
      </w:r>
      <w:r w:rsidR="00BD7DE0">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A016A0" w14:paraId="784AC36D" w14:textId="77777777" w:rsidTr="008D7821">
        <w:tc>
          <w:tcPr>
            <w:tcW w:w="9631" w:type="dxa"/>
          </w:tcPr>
          <w:p w14:paraId="40898F49" w14:textId="1C033EDE" w:rsidR="00A016A0" w:rsidRDefault="00A016A0" w:rsidP="008D7821">
            <w:pPr>
              <w:jc w:val="center"/>
            </w:pPr>
            <w:r w:rsidRPr="00A016A0">
              <w:rPr>
                <w:noProof/>
              </w:rPr>
              <w:lastRenderedPageBreak/>
              <w:drawing>
                <wp:inline distT="0" distB="0" distL="0" distR="0" wp14:anchorId="438F90A2" wp14:editId="0547A3C9">
                  <wp:extent cx="5295900" cy="275259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01023" cy="2755256"/>
                          </a:xfrm>
                          <a:prstGeom prst="rect">
                            <a:avLst/>
                          </a:prstGeom>
                        </pic:spPr>
                      </pic:pic>
                    </a:graphicData>
                  </a:graphic>
                </wp:inline>
              </w:drawing>
            </w:r>
          </w:p>
        </w:tc>
      </w:tr>
      <w:tr w:rsidR="00A016A0" w14:paraId="6E3BA753" w14:textId="77777777" w:rsidTr="008D7821">
        <w:tc>
          <w:tcPr>
            <w:tcW w:w="9631" w:type="dxa"/>
          </w:tcPr>
          <w:p w14:paraId="6738199E" w14:textId="581C581E" w:rsidR="00A016A0" w:rsidRDefault="00A016A0" w:rsidP="00DC77E8">
            <w:pPr>
              <w:jc w:val="both"/>
            </w:pPr>
            <w:r>
              <w:t xml:space="preserve">Figure 1: Examples of expectation values of power patterns ranging from 0 to full correlation. Numbers in the legend refer to the portions in % between the element pattern and the array pattern </w:t>
            </w:r>
            <w:r w:rsidR="00983BAD">
              <w:t>cf.</w:t>
            </w:r>
            <w:r>
              <w:t xml:space="preserve"> Eq. (3).</w:t>
            </w:r>
            <w:r w:rsidR="0025493C">
              <w:t xml:space="preserve"> </w:t>
            </w:r>
          </w:p>
        </w:tc>
      </w:tr>
    </w:tbl>
    <w:p w14:paraId="548528B4" w14:textId="77777777" w:rsidR="00EF3729" w:rsidRDefault="00EF3729" w:rsidP="00EF3729">
      <w:pPr>
        <w:jc w:val="both"/>
      </w:pPr>
      <w:r>
        <w:t>The elements are excited with a combination of a uniform and a random contribution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1131"/>
      </w:tblGrid>
      <w:tr w:rsidR="00EF3729" w14:paraId="37C5134B" w14:textId="77777777" w:rsidTr="00BD07DF">
        <w:trPr>
          <w:trHeight w:val="574"/>
        </w:trPr>
        <w:tc>
          <w:tcPr>
            <w:tcW w:w="8500" w:type="dxa"/>
            <w:vAlign w:val="center"/>
          </w:tcPr>
          <w:p w14:paraId="13775F47" w14:textId="4E80CD34" w:rsidR="00EF3729" w:rsidRPr="00BD07DF" w:rsidRDefault="00EE7CA0" w:rsidP="00BD07DF">
            <w:pPr>
              <w:jc w:val="both"/>
            </w:pPr>
            <m:oMathPara>
              <m:oMath>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rad>
                  <m:radPr>
                    <m:degHide m:val="1"/>
                    <m:ctrlPr>
                      <w:rPr>
                        <w:rFonts w:ascii="Cambria Math" w:hAnsi="Cambria Math"/>
                        <w:i/>
                      </w:rPr>
                    </m:ctrlPr>
                  </m:radPr>
                  <m:deg/>
                  <m:e>
                    <m:r>
                      <w:rPr>
                        <w:rFonts w:ascii="Cambria Math" w:hAnsi="Cambria Math"/>
                      </w:rPr>
                      <m:t>ρ</m:t>
                    </m:r>
                  </m:e>
                </m:rad>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m:t>
                    </m:r>
                    <m:r>
                      <m:rPr>
                        <m:sty m:val="p"/>
                      </m:rPr>
                      <w:rPr>
                        <w:rFonts w:ascii="Cambria Math" w:hAnsi="Cambria Math"/>
                      </w:rPr>
                      <m:t>j</m:t>
                    </m:r>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n</m:t>
                        </m:r>
                      </m:sub>
                    </m:sSub>
                  </m:num>
                  <m:den>
                    <m:rad>
                      <m:radPr>
                        <m:degHide m:val="1"/>
                        <m:ctrlPr>
                          <w:rPr>
                            <w:rFonts w:ascii="Cambria Math" w:hAnsi="Cambria Math"/>
                            <w:i/>
                          </w:rPr>
                        </m:ctrlPr>
                      </m:radPr>
                      <m:deg/>
                      <m:e>
                        <m:r>
                          <w:rPr>
                            <w:rFonts w:ascii="Cambria Math" w:hAnsi="Cambria Math"/>
                          </w:rPr>
                          <m:t>2</m:t>
                        </m:r>
                      </m:e>
                    </m:rad>
                  </m:den>
                </m:f>
                <m:rad>
                  <m:radPr>
                    <m:degHide m:val="1"/>
                    <m:ctrlPr>
                      <w:rPr>
                        <w:rFonts w:ascii="Cambria Math" w:hAnsi="Cambria Math"/>
                        <w:i/>
                      </w:rPr>
                    </m:ctrlPr>
                  </m:radPr>
                  <m:deg/>
                  <m:e>
                    <m:r>
                      <w:rPr>
                        <w:rFonts w:ascii="Cambria Math" w:hAnsi="Cambria Math"/>
                      </w:rPr>
                      <m:t>1-ρ</m:t>
                    </m:r>
                  </m:e>
                </m:rad>
              </m:oMath>
            </m:oMathPara>
          </w:p>
        </w:tc>
        <w:tc>
          <w:tcPr>
            <w:tcW w:w="1131" w:type="dxa"/>
            <w:vAlign w:val="center"/>
          </w:tcPr>
          <w:p w14:paraId="658EF11F" w14:textId="77777777" w:rsidR="00EF3729" w:rsidRDefault="00EF3729" w:rsidP="00BD07DF">
            <w:pPr>
              <w:jc w:val="center"/>
            </w:pPr>
            <w:r>
              <w:t>(4)</w:t>
            </w:r>
          </w:p>
        </w:tc>
      </w:tr>
    </w:tbl>
    <w:p w14:paraId="1E8206B4" w14:textId="77777777" w:rsidR="00EF3729" w:rsidRDefault="00EF3729" w:rsidP="00EF3729">
      <w:pPr>
        <w:jc w:val="both"/>
      </w:pPr>
    </w:p>
    <w:p w14:paraId="7D47F4CA" w14:textId="18E05A88" w:rsidR="00EF3729" w:rsidRDefault="00EF3729" w:rsidP="00EF3729">
      <w:pPr>
        <w:jc w:val="both"/>
      </w:pPr>
      <w:r>
        <w:t xml:space="preserve">Here, </w:t>
      </w:r>
      <m:oMath>
        <m:r>
          <w:rPr>
            <w:rFonts w:ascii="Cambria Math" w:hAnsi="Cambria Math"/>
          </w:rPr>
          <m:t>ρ</m:t>
        </m:r>
      </m:oMath>
      <w:r>
        <w:t xml:space="preserve"> is the correlation level and </w:t>
      </w:r>
      <m:oMath>
        <m:sSub>
          <m:sSubPr>
            <m:ctrlPr>
              <w:rPr>
                <w:rFonts w:ascii="Cambria Math" w:hAnsi="Cambria Math"/>
                <w:i/>
              </w:rPr>
            </m:ctrlPr>
          </m:sSubPr>
          <m:e>
            <m:r>
              <w:rPr>
                <w:rFonts w:ascii="Cambria Math" w:hAnsi="Cambria Math"/>
              </w:rPr>
              <m:t>x</m:t>
            </m:r>
          </m:e>
          <m:sub>
            <m:r>
              <w:rPr>
                <w:rFonts w:ascii="Cambria Math" w:hAnsi="Cambria Math"/>
              </w:rPr>
              <m:t>n</m:t>
            </m:r>
          </m:sub>
        </m:sSub>
      </m:oMath>
      <w:r>
        <w:t xml:space="preserve">and </w:t>
      </w:r>
      <m:oMath>
        <m:sSub>
          <m:sSubPr>
            <m:ctrlPr>
              <w:rPr>
                <w:rFonts w:ascii="Cambria Math" w:hAnsi="Cambria Math"/>
                <w:i/>
              </w:rPr>
            </m:ctrlPr>
          </m:sSubPr>
          <m:e>
            <m:r>
              <w:rPr>
                <w:rFonts w:ascii="Cambria Math" w:hAnsi="Cambria Math"/>
              </w:rPr>
              <m:t>y</m:t>
            </m:r>
          </m:e>
          <m:sub>
            <m:r>
              <w:rPr>
                <w:rFonts w:ascii="Cambria Math" w:hAnsi="Cambria Math"/>
              </w:rPr>
              <m:t>n</m:t>
            </m:r>
          </m:sub>
        </m:sSub>
      </m:oMath>
      <w:r>
        <w:t>are normally distributed random numbers with zero mean. By construction, the covariance matrix of the excitation vector then reads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1131"/>
      </w:tblGrid>
      <w:tr w:rsidR="00EF3729" w14:paraId="2DB05818" w14:textId="77777777" w:rsidTr="00BD07DF">
        <w:tc>
          <w:tcPr>
            <w:tcW w:w="8500" w:type="dxa"/>
            <w:vAlign w:val="center"/>
          </w:tcPr>
          <w:p w14:paraId="4C86DB93" w14:textId="77777777" w:rsidR="00EF3729" w:rsidRDefault="00EE7CA0" w:rsidP="00BD07DF">
            <w:pPr>
              <w:jc w:val="both"/>
            </w:pPr>
            <m:oMathPara>
              <m:oMath>
                <m:d>
                  <m:dPr>
                    <m:begChr m:val="〈"/>
                    <m:endChr m:val="〉"/>
                    <m:ctrlPr>
                      <w:rPr>
                        <w:rFonts w:ascii="Cambria Math" w:hAnsi="Cambria Math"/>
                        <w:i/>
                      </w:rPr>
                    </m:ctrlPr>
                  </m:dPr>
                  <m:e>
                    <m:d>
                      <m:dPr>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1</m:t>
                                        </m:r>
                                      </m:sub>
                                    </m:sSub>
                                  </m:e>
                                </m:mr>
                                <m:mr>
                                  <m:e>
                                    <m:sSub>
                                      <m:sSubPr>
                                        <m:ctrlPr>
                                          <w:rPr>
                                            <w:rFonts w:ascii="Cambria Math" w:hAnsi="Cambria Math"/>
                                            <w:i/>
                                          </w:rPr>
                                        </m:ctrlPr>
                                      </m:sSubPr>
                                      <m:e>
                                        <m:r>
                                          <w:rPr>
                                            <w:rFonts w:ascii="Cambria Math" w:hAnsi="Cambria Math"/>
                                          </w:rPr>
                                          <m:t>w</m:t>
                                        </m:r>
                                      </m:e>
                                      <m:sub>
                                        <m:r>
                                          <w:rPr>
                                            <w:rFonts w:ascii="Cambria Math" w:hAnsi="Cambria Math"/>
                                          </w:rPr>
                                          <m:t>2</m:t>
                                        </m:r>
                                      </m:sub>
                                    </m:sSub>
                                  </m:e>
                                </m:mr>
                              </m:m>
                            </m:e>
                          </m:mr>
                          <m:mr>
                            <m:e>
                              <m:r>
                                <w:rPr>
                                  <w:rFonts w:ascii="Cambria Math" w:hAnsi="Cambria Math"/>
                                </w:rPr>
                                <m:t>⋮</m:t>
                              </m:r>
                            </m:e>
                          </m:mr>
                          <m:mr>
                            <m:e>
                              <m:sSub>
                                <m:sSubPr>
                                  <m:ctrlPr>
                                    <w:rPr>
                                      <w:rFonts w:ascii="Cambria Math" w:hAnsi="Cambria Math"/>
                                      <w:i/>
                                    </w:rPr>
                                  </m:ctrlPr>
                                </m:sSubPr>
                                <m:e>
                                  <m:r>
                                    <w:rPr>
                                      <w:rFonts w:ascii="Cambria Math" w:hAnsi="Cambria Math"/>
                                    </w:rPr>
                                    <m:t>w</m:t>
                                  </m:r>
                                </m:e>
                                <m:sub>
                                  <m:r>
                                    <w:rPr>
                                      <w:rFonts w:ascii="Cambria Math" w:hAnsi="Cambria Math"/>
                                    </w:rPr>
                                    <m:t>N</m:t>
                                  </m:r>
                                </m:sub>
                              </m:sSub>
                            </m:e>
                          </m:mr>
                        </m:m>
                      </m:e>
                    </m:d>
                    <m:d>
                      <m:dPr>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w</m:t>
                                  </m:r>
                                </m:e>
                                <m:sub>
                                  <m:r>
                                    <w:rPr>
                                      <w:rFonts w:ascii="Cambria Math" w:hAnsi="Cambria Math"/>
                                    </w:rPr>
                                    <m:t>1</m:t>
                                  </m:r>
                                </m:sub>
                                <m:sup>
                                  <m:r>
                                    <w:rPr>
                                      <w:rFonts w:ascii="Cambria Math" w:hAnsi="Cambria Math"/>
                                    </w:rPr>
                                    <m:t>*</m:t>
                                  </m:r>
                                </m:sup>
                              </m:sSubSup>
                            </m:e>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w</m:t>
                                        </m:r>
                                      </m:e>
                                      <m:sub>
                                        <m:r>
                                          <w:rPr>
                                            <w:rFonts w:ascii="Cambria Math" w:hAnsi="Cambria Math"/>
                                          </w:rPr>
                                          <m:t>2</m:t>
                                        </m:r>
                                      </m:sub>
                                      <m:sup>
                                        <m:r>
                                          <w:rPr>
                                            <w:rFonts w:ascii="Cambria Math" w:hAnsi="Cambria Math"/>
                                          </w:rPr>
                                          <m:t>*</m:t>
                                        </m:r>
                                      </m:sup>
                                    </m:sSubSup>
                                  </m:e>
                                  <m:e>
                                    <m:r>
                                      <w:rPr>
                                        <w:rFonts w:ascii="Cambria Math" w:hAnsi="Cambria Math"/>
                                      </w:rPr>
                                      <m:t>…</m:t>
                                    </m:r>
                                  </m:e>
                                </m:mr>
                              </m:m>
                            </m:e>
                            <m:e>
                              <m:sSubSup>
                                <m:sSubSupPr>
                                  <m:ctrlPr>
                                    <w:rPr>
                                      <w:rFonts w:ascii="Cambria Math" w:hAnsi="Cambria Math"/>
                                      <w:i/>
                                    </w:rPr>
                                  </m:ctrlPr>
                                </m:sSubSupPr>
                                <m:e>
                                  <m:r>
                                    <w:rPr>
                                      <w:rFonts w:ascii="Cambria Math" w:hAnsi="Cambria Math"/>
                                    </w:rPr>
                                    <m:t>w</m:t>
                                  </m:r>
                                </m:e>
                                <m:sub>
                                  <m:r>
                                    <w:rPr>
                                      <w:rFonts w:ascii="Cambria Math" w:hAnsi="Cambria Math"/>
                                    </w:rPr>
                                    <m:t>N</m:t>
                                  </m:r>
                                </m:sub>
                                <m:sup>
                                  <m:r>
                                    <w:rPr>
                                      <w:rFonts w:ascii="Cambria Math" w:hAnsi="Cambria Math"/>
                                    </w:rPr>
                                    <m:t>*</m:t>
                                  </m:r>
                                </m:sup>
                              </m:sSubSup>
                            </m:e>
                          </m:mr>
                        </m:m>
                      </m:e>
                    </m:d>
                  </m:e>
                </m:d>
                <m:r>
                  <w:rPr>
                    <w:rFonts w:ascii="Cambria Math" w:hAnsi="Cambria Math"/>
                  </w:rPr>
                  <m:t>=</m:t>
                </m:r>
                <m:d>
                  <m:dPr>
                    <m:ctrlPr>
                      <w:rPr>
                        <w:rFonts w:ascii="Cambria Math" w:hAnsi="Cambria Math"/>
                        <w:i/>
                      </w:rPr>
                    </m:ctrlPr>
                  </m:dPr>
                  <m:e>
                    <m:m>
                      <m:mPr>
                        <m:mcs>
                          <m:mc>
                            <m:mcPr>
                              <m:count m:val="3"/>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ρ</m:t>
                                </m:r>
                              </m:e>
                            </m:mr>
                            <m:mr>
                              <m:e>
                                <m:r>
                                  <w:rPr>
                                    <w:rFonts w:ascii="Cambria Math" w:hAnsi="Cambria Math"/>
                                  </w:rPr>
                                  <m:t>ρ</m:t>
                                </m:r>
                              </m:e>
                              <m:e>
                                <m:r>
                                  <w:rPr>
                                    <w:rFonts w:ascii="Cambria Math" w:hAnsi="Cambria Math"/>
                                  </w:rPr>
                                  <m:t>1</m:t>
                                </m:r>
                              </m:e>
                            </m:mr>
                          </m:m>
                        </m:e>
                        <m:e>
                          <m:r>
                            <w:rPr>
                              <w:rFonts w:ascii="Cambria Math" w:hAnsi="Cambria Math"/>
                            </w:rPr>
                            <m:t>⋯</m:t>
                          </m:r>
                        </m:e>
                        <m:e>
                          <m:m>
                            <m:mPr>
                              <m:mcs>
                                <m:mc>
                                  <m:mcPr>
                                    <m:count m:val="1"/>
                                    <m:mcJc m:val="center"/>
                                  </m:mcPr>
                                </m:mc>
                              </m:mcs>
                              <m:ctrlPr>
                                <w:rPr>
                                  <w:rFonts w:ascii="Cambria Math" w:hAnsi="Cambria Math"/>
                                  <w:i/>
                                </w:rPr>
                              </m:ctrlPr>
                            </m:mPr>
                            <m:mr>
                              <m:e>
                                <m:r>
                                  <w:rPr>
                                    <w:rFonts w:ascii="Cambria Math" w:hAnsi="Cambria Math"/>
                                  </w:rPr>
                                  <m:t>ρ</m:t>
                                </m:r>
                              </m:e>
                            </m:mr>
                            <m:mr>
                              <m:e>
                                <m:r>
                                  <w:rPr>
                                    <w:rFonts w:ascii="Cambria Math" w:hAnsi="Cambria Math"/>
                                  </w:rPr>
                                  <m:t>ρ</m:t>
                                </m:r>
                              </m:e>
                            </m:mr>
                          </m:m>
                        </m:e>
                      </m:mr>
                      <m:mr>
                        <m:e>
                          <m:r>
                            <w:rPr>
                              <w:rFonts w:ascii="Cambria Math" w:hAnsi="Cambria Math"/>
                            </w:rPr>
                            <m:t>⋮</m:t>
                          </m:r>
                        </m:e>
                        <m:e>
                          <m:r>
                            <w:rPr>
                              <w:rFonts w:ascii="Cambria Math" w:hAnsi="Cambria Math"/>
                            </w:rPr>
                            <m:t>⋱</m:t>
                          </m:r>
                        </m:e>
                        <m:e>
                          <m:r>
                            <w:rPr>
                              <w:rFonts w:ascii="Cambria Math" w:hAnsi="Cambria Math"/>
                            </w:rPr>
                            <m:t>⋮</m:t>
                          </m:r>
                        </m:e>
                      </m:mr>
                      <m:mr>
                        <m:e>
                          <m:m>
                            <m:mPr>
                              <m:mcs>
                                <m:mc>
                                  <m:mcPr>
                                    <m:count m:val="2"/>
                                    <m:mcJc m:val="center"/>
                                  </m:mcPr>
                                </m:mc>
                              </m:mcs>
                              <m:ctrlPr>
                                <w:rPr>
                                  <w:rFonts w:ascii="Cambria Math" w:hAnsi="Cambria Math"/>
                                  <w:i/>
                                </w:rPr>
                              </m:ctrlPr>
                            </m:mPr>
                            <m:mr>
                              <m:e>
                                <m:r>
                                  <w:rPr>
                                    <w:rFonts w:ascii="Cambria Math" w:hAnsi="Cambria Math"/>
                                  </w:rPr>
                                  <m:t>ρ</m:t>
                                </m:r>
                              </m:e>
                              <m:e>
                                <m:r>
                                  <w:rPr>
                                    <w:rFonts w:ascii="Cambria Math" w:hAnsi="Cambria Math"/>
                                  </w:rPr>
                                  <m:t>ρ</m:t>
                                </m:r>
                              </m:e>
                            </m:mr>
                          </m:m>
                        </m:e>
                        <m:e>
                          <m:r>
                            <w:rPr>
                              <w:rFonts w:ascii="Cambria Math" w:hAnsi="Cambria Math"/>
                            </w:rPr>
                            <m:t>⋯</m:t>
                          </m:r>
                        </m:e>
                        <m:e>
                          <m:r>
                            <w:rPr>
                              <w:rFonts w:ascii="Cambria Math" w:hAnsi="Cambria Math"/>
                            </w:rPr>
                            <m:t>1</m:t>
                          </m:r>
                        </m:e>
                      </m:mr>
                    </m:m>
                  </m:e>
                </m:d>
              </m:oMath>
            </m:oMathPara>
          </w:p>
        </w:tc>
        <w:tc>
          <w:tcPr>
            <w:tcW w:w="1131" w:type="dxa"/>
            <w:vAlign w:val="center"/>
          </w:tcPr>
          <w:p w14:paraId="6CA26958" w14:textId="77777777" w:rsidR="00EF3729" w:rsidRDefault="00EF3729" w:rsidP="00BD07DF">
            <w:pPr>
              <w:jc w:val="center"/>
            </w:pPr>
            <w:r>
              <w:t>(5)</w:t>
            </w:r>
          </w:p>
        </w:tc>
      </w:tr>
    </w:tbl>
    <w:p w14:paraId="613065C3" w14:textId="6C519196" w:rsidR="00EF3729" w:rsidRDefault="00EF3729" w:rsidP="00EF3729">
      <w:pPr>
        <w:jc w:val="both"/>
      </w:pPr>
      <w:r>
        <w:t>Note that by the chosen normalization the covariance matrix is identical to the correlation matrix.</w:t>
      </w:r>
      <w:r w:rsidR="00284231">
        <w:t xml:space="preserve"> The effect on correlation is illustrated in Figs 2-4 by using a 10x10 Uniform </w:t>
      </w:r>
      <w:r w:rsidR="00764139">
        <w:t>Rectangular Array (URA).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1"/>
      </w:tblGrid>
      <w:tr w:rsidR="00EF3729" w14:paraId="1D9A5127" w14:textId="77777777" w:rsidTr="00BD07DF">
        <w:tc>
          <w:tcPr>
            <w:tcW w:w="9631" w:type="dxa"/>
          </w:tcPr>
          <w:p w14:paraId="18BCC9E7" w14:textId="77777777" w:rsidR="00EF3729" w:rsidRDefault="00EF3729" w:rsidP="00BD07DF">
            <w:pPr>
              <w:jc w:val="both"/>
            </w:pPr>
            <w:r w:rsidRPr="00C64475">
              <w:rPr>
                <w:noProof/>
              </w:rPr>
              <w:lastRenderedPageBreak/>
              <w:drawing>
                <wp:inline distT="0" distB="0" distL="0" distR="0" wp14:anchorId="2482E299" wp14:editId="4C3BCCE4">
                  <wp:extent cx="6161375" cy="33813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74626" cy="3388647"/>
                          </a:xfrm>
                          <a:prstGeom prst="rect">
                            <a:avLst/>
                          </a:prstGeom>
                        </pic:spPr>
                      </pic:pic>
                    </a:graphicData>
                  </a:graphic>
                </wp:inline>
              </w:drawing>
            </w:r>
          </w:p>
        </w:tc>
      </w:tr>
      <w:tr w:rsidR="00EF3729" w14:paraId="4CE4FED4" w14:textId="77777777" w:rsidTr="00BD07DF">
        <w:tc>
          <w:tcPr>
            <w:tcW w:w="9631" w:type="dxa"/>
          </w:tcPr>
          <w:p w14:paraId="4427FB6B" w14:textId="4591FAF4" w:rsidR="00EF3729" w:rsidRDefault="00EF3729" w:rsidP="00BD07DF">
            <w:pPr>
              <w:jc w:val="both"/>
            </w:pPr>
            <w:r>
              <w:t xml:space="preserve">Figure 2: 30 sample patterns (light </w:t>
            </w:r>
            <w:r w:rsidR="00667DC0">
              <w:t>grey</w:t>
            </w:r>
            <w:r>
              <w:t>) with zero correlation and the average pattern as solid black line. The average pattern will converge to the element pattern when the number of random patterns approach infinity.</w:t>
            </w:r>
          </w:p>
        </w:tc>
      </w:tr>
    </w:tbl>
    <w:p w14:paraId="0810E562" w14:textId="77777777" w:rsidR="00EF3729" w:rsidRDefault="00EF3729" w:rsidP="00EF3729">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1"/>
      </w:tblGrid>
      <w:tr w:rsidR="00EF3729" w14:paraId="2E5FD10F" w14:textId="77777777" w:rsidTr="00BD07DF">
        <w:tc>
          <w:tcPr>
            <w:tcW w:w="9631" w:type="dxa"/>
          </w:tcPr>
          <w:p w14:paraId="0B3C9654" w14:textId="77777777" w:rsidR="00EF3729" w:rsidRDefault="00EF3729" w:rsidP="00BD07DF">
            <w:pPr>
              <w:jc w:val="both"/>
            </w:pPr>
            <w:r w:rsidRPr="00C64475">
              <w:rPr>
                <w:noProof/>
              </w:rPr>
              <w:drawing>
                <wp:inline distT="0" distB="0" distL="0" distR="0" wp14:anchorId="2D302158" wp14:editId="2A7BF0A1">
                  <wp:extent cx="6122035" cy="33597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2035" cy="3359785"/>
                          </a:xfrm>
                          <a:prstGeom prst="rect">
                            <a:avLst/>
                          </a:prstGeom>
                        </pic:spPr>
                      </pic:pic>
                    </a:graphicData>
                  </a:graphic>
                </wp:inline>
              </w:drawing>
            </w:r>
          </w:p>
        </w:tc>
      </w:tr>
      <w:tr w:rsidR="00EF3729" w14:paraId="41792613" w14:textId="77777777" w:rsidTr="00BD07DF">
        <w:tc>
          <w:tcPr>
            <w:tcW w:w="9631" w:type="dxa"/>
          </w:tcPr>
          <w:p w14:paraId="2CE3FD4C" w14:textId="2373CB35" w:rsidR="00EF3729" w:rsidRDefault="00EF3729" w:rsidP="00BD07DF">
            <w:pPr>
              <w:jc w:val="both"/>
            </w:pPr>
            <w:r>
              <w:t xml:space="preserve">Figure 3: 30 sample patterns (light </w:t>
            </w:r>
            <w:r w:rsidR="00667DC0">
              <w:t>grey</w:t>
            </w:r>
            <w:r>
              <w:t>) at 0.25 correlation, and the average pattern (black). Note that the increase in beam-forming gain and the appearance of somewhat distinct sidelobes in the average pattern.</w:t>
            </w:r>
          </w:p>
        </w:tc>
      </w:tr>
    </w:tbl>
    <w:p w14:paraId="5FB67C18" w14:textId="77777777" w:rsidR="00EF3729" w:rsidRDefault="00EF3729" w:rsidP="00EF3729">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1"/>
      </w:tblGrid>
      <w:tr w:rsidR="00EF3729" w14:paraId="47E042D5" w14:textId="77777777" w:rsidTr="00BD07DF">
        <w:tc>
          <w:tcPr>
            <w:tcW w:w="9631" w:type="dxa"/>
          </w:tcPr>
          <w:p w14:paraId="76C392B6" w14:textId="77777777" w:rsidR="00EF3729" w:rsidRDefault="00EF3729" w:rsidP="00BD07DF">
            <w:pPr>
              <w:jc w:val="both"/>
            </w:pPr>
            <w:r w:rsidRPr="00C64475">
              <w:rPr>
                <w:noProof/>
              </w:rPr>
              <w:lastRenderedPageBreak/>
              <w:drawing>
                <wp:inline distT="0" distB="0" distL="0" distR="0" wp14:anchorId="6FCB2B26" wp14:editId="604348C3">
                  <wp:extent cx="6122035" cy="33597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2035" cy="3359785"/>
                          </a:xfrm>
                          <a:prstGeom prst="rect">
                            <a:avLst/>
                          </a:prstGeom>
                        </pic:spPr>
                      </pic:pic>
                    </a:graphicData>
                  </a:graphic>
                </wp:inline>
              </w:drawing>
            </w:r>
          </w:p>
        </w:tc>
      </w:tr>
      <w:tr w:rsidR="00EF3729" w14:paraId="5DEE92CE" w14:textId="77777777" w:rsidTr="00BD07DF">
        <w:tc>
          <w:tcPr>
            <w:tcW w:w="9631" w:type="dxa"/>
          </w:tcPr>
          <w:p w14:paraId="0170C2D2" w14:textId="4BD21732" w:rsidR="00EF3729" w:rsidRDefault="00EF3729" w:rsidP="00BD07DF">
            <w:pPr>
              <w:jc w:val="both"/>
            </w:pPr>
            <w:r>
              <w:t xml:space="preserve">Figure 4: 30 sample patterns (light </w:t>
            </w:r>
            <w:r w:rsidR="00667DC0">
              <w:t>grey</w:t>
            </w:r>
            <w:r>
              <w:t>) at 0.5 correlation. Further increased beam-forming gain and more distinct sidelobes are observed in the average pattern.</w:t>
            </w:r>
          </w:p>
        </w:tc>
      </w:tr>
    </w:tbl>
    <w:p w14:paraId="2C3C2158" w14:textId="77777777" w:rsidR="00A016A0" w:rsidRDefault="00A016A0" w:rsidP="00DC77E8">
      <w:pPr>
        <w:jc w:val="both"/>
      </w:pPr>
    </w:p>
    <w:p w14:paraId="413E0B11" w14:textId="08C47F15" w:rsidR="007C494C" w:rsidRDefault="005E49CC" w:rsidP="00DC77E8">
      <w:pPr>
        <w:jc w:val="both"/>
      </w:pPr>
      <w:r>
        <w:t>When</w:t>
      </w:r>
      <w:r w:rsidR="00956F0C">
        <w:t xml:space="preserve"> stud</w:t>
      </w:r>
      <w:r>
        <w:t>ying</w:t>
      </w:r>
      <w:r w:rsidR="00D9207B">
        <w:t xml:space="preserve"> </w:t>
      </w:r>
      <w:r w:rsidR="00956F0C">
        <w:t>of spurious radiation</w:t>
      </w:r>
      <w:r>
        <w:t xml:space="preserve"> in general</w:t>
      </w:r>
      <w:r w:rsidR="00D9207B">
        <w:t xml:space="preserve"> the exact level of correlation is not known. </w:t>
      </w:r>
      <w:r w:rsidR="0095694D">
        <w:t>Therefore</w:t>
      </w:r>
      <w:r w:rsidR="00DC212A">
        <w:t>,</w:t>
      </w:r>
      <w:r w:rsidR="00D9207B">
        <w:t xml:space="preserve"> the correlation between the sources is picked uniformly randomly from an assumed correlation interval, e.g. </w:t>
      </w:r>
      <m:oMath>
        <m:r>
          <w:rPr>
            <w:rFonts w:ascii="Cambria Math" w:hAnsi="Cambria Math"/>
          </w:rPr>
          <m:t>ρ∈</m:t>
        </m:r>
        <m:d>
          <m:dPr>
            <m:begChr m:val="["/>
            <m:endChr m:val="]"/>
            <m:ctrlPr>
              <w:rPr>
                <w:rFonts w:ascii="Cambria Math" w:hAnsi="Cambria Math"/>
                <w:i/>
              </w:rPr>
            </m:ctrlPr>
          </m:dPr>
          <m:e>
            <m:r>
              <w:rPr>
                <w:rFonts w:ascii="Cambria Math" w:hAnsi="Cambria Math"/>
              </w:rPr>
              <m:t>0, 0.5</m:t>
            </m:r>
          </m:e>
        </m:d>
      </m:oMath>
      <w:r w:rsidR="00D9207B">
        <w:t>.</w:t>
      </w:r>
    </w:p>
    <w:p w14:paraId="038476C4" w14:textId="2CDE3687" w:rsidR="00BD7DE0" w:rsidRDefault="005E49CC" w:rsidP="00DC77E8">
      <w:pPr>
        <w:jc w:val="both"/>
      </w:pPr>
      <w:r>
        <w:t>One</w:t>
      </w:r>
      <w:r w:rsidR="00D55142">
        <w:t xml:space="preserve"> aspect of</w:t>
      </w:r>
      <w:r w:rsidR="00DF01D6">
        <w:t xml:space="preserve"> sparse sampling is whether the peak EIRP </w:t>
      </w:r>
      <w:r w:rsidR="0095694D">
        <w:t xml:space="preserve">direction </w:t>
      </w:r>
      <w:r w:rsidR="00DF01D6">
        <w:t>is included in the set of measurement directions</w:t>
      </w:r>
      <w:r w:rsidR="00D55142">
        <w:t xml:space="preserve"> or not</w:t>
      </w:r>
      <w:r w:rsidR="00DF01D6">
        <w:t xml:space="preserve">. Including the peak or not plays a major role for </w:t>
      </w:r>
      <w:r w:rsidR="002A5E18">
        <w:t>a</w:t>
      </w:r>
      <w:r w:rsidR="00DF01D6">
        <w:t xml:space="preserve"> sparse</w:t>
      </w:r>
      <w:r w:rsidR="002A5E18">
        <w:t>ly sampled</w:t>
      </w:r>
      <w:r w:rsidR="00DF01D6">
        <w:t xml:space="preserve"> TRP value if </w:t>
      </w:r>
      <w:r w:rsidR="002A5E18">
        <w:t xml:space="preserve">the </w:t>
      </w:r>
      <w:r w:rsidR="00DF01D6">
        <w:t xml:space="preserve">correlation is </w:t>
      </w:r>
      <w:r w:rsidR="002A5E18">
        <w:t>high (high beamforming gain)</w:t>
      </w:r>
      <w:r w:rsidR="00DF01D6">
        <w:t>. As a thought experiment</w:t>
      </w:r>
      <w:r w:rsidR="00D55142">
        <w:t>,</w:t>
      </w:r>
      <w:r w:rsidR="00DF01D6">
        <w:t xml:space="preserve"> consider a rectangular array with a broadside beam. </w:t>
      </w:r>
      <w:r w:rsidR="0000206D">
        <w:t xml:space="preserve">The </w:t>
      </w:r>
      <w:r w:rsidR="00DF01D6">
        <w:t xml:space="preserve">EIRP </w:t>
      </w:r>
      <w:r w:rsidR="0000206D">
        <w:t>peak will be</w:t>
      </w:r>
      <w:r w:rsidR="00DF01D6">
        <w:t xml:space="preserve"> in the broad side direction and the highest sidelobes </w:t>
      </w:r>
      <w:proofErr w:type="gramStart"/>
      <w:r w:rsidR="00DF01D6">
        <w:t>are</w:t>
      </w:r>
      <w:r w:rsidR="0000206D">
        <w:t xml:space="preserve"> located</w:t>
      </w:r>
      <w:r w:rsidR="00DF01D6">
        <w:t xml:space="preserve"> in</w:t>
      </w:r>
      <w:proofErr w:type="gramEnd"/>
      <w:r w:rsidR="00DF01D6">
        <w:t xml:space="preserve"> the cardinal planes. If the sampling is sparse and the array is ti</w:t>
      </w:r>
      <w:r w:rsidR="0095694D">
        <w:t>l</w:t>
      </w:r>
      <w:r w:rsidR="00DF01D6">
        <w:t xml:space="preserve">ted </w:t>
      </w:r>
      <w:r w:rsidR="005A39EF">
        <w:t xml:space="preserve">in such a way that the </w:t>
      </w:r>
      <w:r w:rsidR="00DF01D6">
        <w:t>peak and the cardinal planes are not measured</w:t>
      </w:r>
      <w:r w:rsidR="0095694D">
        <w:t>, the resulting TRP value will be too low</w:t>
      </w:r>
      <w:r w:rsidR="00DF01D6">
        <w:t xml:space="preserve">. However, for </w:t>
      </w:r>
      <w:commentRangeStart w:id="1"/>
      <w:commentRangeStart w:id="2"/>
      <w:r w:rsidR="00DF01D6">
        <w:t>spurious emissions</w:t>
      </w:r>
      <w:r w:rsidR="00E82D06">
        <w:t>, except harmonics o</w:t>
      </w:r>
      <w:r w:rsidR="007A69BA">
        <w:t>f wanted signal</w:t>
      </w:r>
      <w:r w:rsidR="004F0D8B">
        <w:t>,</w:t>
      </w:r>
      <w:r w:rsidR="00DF01D6">
        <w:t xml:space="preserve"> </w:t>
      </w:r>
      <w:commentRangeEnd w:id="1"/>
      <w:r w:rsidR="00767500">
        <w:rPr>
          <w:rStyle w:val="CommentReference"/>
        </w:rPr>
        <w:commentReference w:id="1"/>
      </w:r>
      <w:commentRangeEnd w:id="2"/>
      <w:r w:rsidR="00942A33">
        <w:rPr>
          <w:rStyle w:val="CommentReference"/>
        </w:rPr>
        <w:commentReference w:id="2"/>
      </w:r>
      <w:r w:rsidR="00DF01D6">
        <w:t xml:space="preserve">the correlation level can be assumed to be low. </w:t>
      </w:r>
      <w:r w:rsidR="001E3E02">
        <w:t>This reduce</w:t>
      </w:r>
      <w:r w:rsidR="00B31873">
        <w:t>s</w:t>
      </w:r>
      <w:r w:rsidR="001E3E02">
        <w:t xml:space="preserve"> the beam-forming gain and the resulting mis-alignment error will be smaller. </w:t>
      </w:r>
      <w:r w:rsidR="00DF01D6">
        <w:t xml:space="preserve">Moreover, the positions of the sources of radiation </w:t>
      </w:r>
      <w:r w:rsidR="004C3E5A">
        <w:t xml:space="preserve">for spurious emissions </w:t>
      </w:r>
      <w:r w:rsidR="00DF01D6">
        <w:t xml:space="preserve">can be slots, screw holes or any </w:t>
      </w:r>
      <w:r w:rsidR="00D83048">
        <w:t>part of the EUT</w:t>
      </w:r>
      <w:r w:rsidR="00DF01D6">
        <w:t>. Hence the geometry of the sources is in general not known</w:t>
      </w:r>
      <w:r w:rsidR="00D83048">
        <w:t>.</w:t>
      </w:r>
      <w:r w:rsidR="00DF01D6">
        <w:t xml:space="preserve"> </w:t>
      </w:r>
      <w:r w:rsidR="00D83048">
        <w:t>Moreove</w:t>
      </w:r>
      <w:r w:rsidR="00C00381">
        <w:t>r</w:t>
      </w:r>
      <w:r w:rsidR="00D83048">
        <w:t>,</w:t>
      </w:r>
      <w:r w:rsidR="00DF01D6">
        <w:t xml:space="preserve"> searching for the peak at high frequencies can be extremely time consuming.</w:t>
      </w:r>
      <w:r w:rsidR="00B51A81">
        <w:t xml:space="preserve"> To overcome the alignment problem</w:t>
      </w:r>
      <w:r w:rsidR="002F0422">
        <w:t xml:space="preserve"> and peak fin</w:t>
      </w:r>
      <w:r w:rsidR="00272553">
        <w:t>d</w:t>
      </w:r>
      <w:r w:rsidR="002F0422">
        <w:t>i</w:t>
      </w:r>
      <w:r w:rsidR="00272553">
        <w:t>ng</w:t>
      </w:r>
      <w:r w:rsidR="00B51A81">
        <w:t xml:space="preserve"> </w:t>
      </w:r>
      <w:r w:rsidR="006D416C">
        <w:t>random rotations are studied.</w:t>
      </w:r>
    </w:p>
    <w:p w14:paraId="66513537" w14:textId="7312B4BA" w:rsidR="00DF01D6" w:rsidRDefault="00DF01D6" w:rsidP="00DC77E8">
      <w:pPr>
        <w:jc w:val="both"/>
      </w:pPr>
      <w:r>
        <w:t>The source</w:t>
      </w:r>
      <w:r w:rsidR="008E4B71">
        <w:t>s</w:t>
      </w:r>
      <w:r>
        <w:t xml:space="preserve"> are chosen to be positioned in a uniform </w:t>
      </w:r>
      <w:r w:rsidR="00764139">
        <w:t>rectangular</w:t>
      </w:r>
      <w:r>
        <w:t xml:space="preserve"> array (U</w:t>
      </w:r>
      <w:r w:rsidR="00764139">
        <w:t>R</w:t>
      </w:r>
      <w:r>
        <w:t>A).</w:t>
      </w:r>
      <w:r w:rsidR="00EB4A5A">
        <w:t xml:space="preserve"> Note that, if dense sampling is used (using reference steps or finer) the TRP value is independent of rotation of the grid as the true TRP can not depend on the orientation of the EUT.</w:t>
      </w:r>
    </w:p>
    <w:p w14:paraId="32C6B798" w14:textId="5ED44F22" w:rsidR="000A1F5C" w:rsidRDefault="000A1F5C" w:rsidP="00DC77E8">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3A6ACF" w14:paraId="097027DF" w14:textId="77777777" w:rsidTr="008D7821">
        <w:tc>
          <w:tcPr>
            <w:tcW w:w="4815" w:type="dxa"/>
          </w:tcPr>
          <w:p w14:paraId="5DD66169" w14:textId="083D7CF5" w:rsidR="003A6ACF" w:rsidRDefault="00F5491B" w:rsidP="008D7821">
            <w:pPr>
              <w:jc w:val="center"/>
            </w:pPr>
            <w:r>
              <w:rPr>
                <w:noProof/>
              </w:rPr>
              <w:lastRenderedPageBreak/>
              <w:drawing>
                <wp:inline distT="0" distB="0" distL="0" distR="0" wp14:anchorId="63311F46" wp14:editId="6E89AC2D">
                  <wp:extent cx="2533650" cy="255836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4">
                            <a:extLst>
                              <a:ext uri="{28A0092B-C50C-407E-A947-70E740481C1C}">
                                <a14:useLocalDpi xmlns:a14="http://schemas.microsoft.com/office/drawing/2010/main" val="0"/>
                              </a:ext>
                            </a:extLst>
                          </a:blip>
                          <a:srcRect l="26667" t="15762" r="23637" b="18314"/>
                          <a:stretch/>
                        </pic:blipFill>
                        <pic:spPr bwMode="auto">
                          <a:xfrm>
                            <a:off x="0" y="0"/>
                            <a:ext cx="2535643" cy="256038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6" w:type="dxa"/>
          </w:tcPr>
          <w:p w14:paraId="0463F30F" w14:textId="0B2085FA" w:rsidR="003A6ACF" w:rsidRDefault="00F5491B" w:rsidP="008D7821">
            <w:pPr>
              <w:jc w:val="center"/>
            </w:pPr>
            <w:r>
              <w:rPr>
                <w:noProof/>
              </w:rPr>
              <w:drawing>
                <wp:inline distT="0" distB="0" distL="0" distR="0" wp14:anchorId="79C08D5A" wp14:editId="6AFBA51D">
                  <wp:extent cx="2495550" cy="253868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5">
                            <a:extLst>
                              <a:ext uri="{28A0092B-C50C-407E-A947-70E740481C1C}">
                                <a14:useLocalDpi xmlns:a14="http://schemas.microsoft.com/office/drawing/2010/main" val="0"/>
                              </a:ext>
                            </a:extLst>
                          </a:blip>
                          <a:srcRect l="27394" t="15445" r="23515" b="18950"/>
                          <a:stretch/>
                        </pic:blipFill>
                        <pic:spPr bwMode="auto">
                          <a:xfrm>
                            <a:off x="0" y="0"/>
                            <a:ext cx="2498596" cy="254178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BC2F54" w14:paraId="721F045C" w14:textId="77777777" w:rsidTr="008D7821">
        <w:tc>
          <w:tcPr>
            <w:tcW w:w="9631" w:type="dxa"/>
            <w:gridSpan w:val="2"/>
          </w:tcPr>
          <w:p w14:paraId="223F514F" w14:textId="3EF837B0" w:rsidR="00BC2F54" w:rsidRDefault="00BC2F54" w:rsidP="00DC77E8">
            <w:pPr>
              <w:jc w:val="both"/>
            </w:pPr>
            <w:r>
              <w:t xml:space="preserve">Figure </w:t>
            </w:r>
            <w:r w:rsidR="00B344F6">
              <w:t>5</w:t>
            </w:r>
            <w:r>
              <w:t>: Left figure depicts a rotated U</w:t>
            </w:r>
            <w:r w:rsidR="00B344F6">
              <w:t>R</w:t>
            </w:r>
            <w:r>
              <w:t xml:space="preserve">A </w:t>
            </w:r>
            <w:r w:rsidR="00A50893">
              <w:t xml:space="preserve">(black squares) </w:t>
            </w:r>
            <w:r>
              <w:t xml:space="preserve">pattern using correlation 0.5. The right </w:t>
            </w:r>
            <w:r w:rsidR="00A50893">
              <w:t>pattern uses the sam</w:t>
            </w:r>
            <w:r w:rsidR="007D142A">
              <w:t>e</w:t>
            </w:r>
            <w:r w:rsidR="00A50893">
              <w:t xml:space="preserve"> number of sources distributed randomly within the same form factor</w:t>
            </w:r>
            <w:r w:rsidR="00252694">
              <w:t xml:space="preserve"> and </w:t>
            </w:r>
            <w:r w:rsidR="00B344F6">
              <w:t xml:space="preserve">using the same </w:t>
            </w:r>
            <w:r w:rsidR="00252694">
              <w:t>weights</w:t>
            </w:r>
            <w:r w:rsidR="00A50893">
              <w:t xml:space="preserve">. Clearly </w:t>
            </w:r>
            <w:r w:rsidR="005C4B03">
              <w:t xml:space="preserve">and as expected </w:t>
            </w:r>
            <w:r w:rsidR="00A50893">
              <w:t>the random position</w:t>
            </w:r>
            <w:r w:rsidR="005C4B03">
              <w:t>ing</w:t>
            </w:r>
            <w:r w:rsidR="00A50893">
              <w:t xml:space="preserve"> </w:t>
            </w:r>
            <w:r w:rsidR="007D142A">
              <w:t xml:space="preserve">adds further de-correlation and reduced beam-forming gain. </w:t>
            </w:r>
            <w:r w:rsidR="00CE6D12">
              <w:t xml:space="preserve">For the study of sparsity, the left alternative is selected to simplify and </w:t>
            </w:r>
            <w:r w:rsidR="00692B7F">
              <w:t>to not exaggerate the de-correlation</w:t>
            </w:r>
            <w:r w:rsidR="00015A5B">
              <w:t>.</w:t>
            </w:r>
            <w:r w:rsidR="007D142A">
              <w:t xml:space="preserve"> </w:t>
            </w:r>
            <w:r w:rsidR="00A50893">
              <w:t xml:space="preserve"> </w:t>
            </w:r>
          </w:p>
        </w:tc>
      </w:tr>
    </w:tbl>
    <w:p w14:paraId="1B5FA9A5" w14:textId="3E2E832A" w:rsidR="00C64475" w:rsidRDefault="00DF01D6" w:rsidP="00DC77E8">
      <w:pPr>
        <w:jc w:val="both"/>
      </w:pPr>
      <w:r>
        <w:t>An alternative would be to study radiation from randomly position sources within the known mechanical dimensions</w:t>
      </w:r>
      <w:r w:rsidR="005C4B03">
        <w:t>, see Fig 5</w:t>
      </w:r>
      <w:r>
        <w:t>. However, this would further randomize the sources of the fields. It is believed that there is often some structure in the source of radiation, but the alignment of the measurement points and the geometry of the sources is unknown.</w:t>
      </w:r>
      <w:r w:rsidR="00D9207B">
        <w:t xml:space="preserve"> Therefore, rotated U</w:t>
      </w:r>
      <w:r w:rsidR="00996D5B">
        <w:t>R</w:t>
      </w:r>
      <w:r w:rsidR="00D9207B">
        <w:t>As are selected</w:t>
      </w:r>
      <w:r w:rsidR="00064FF8">
        <w:t>, see Figure 2</w:t>
      </w:r>
      <w:r w:rsidR="00D9207B">
        <w:t>.</w:t>
      </w:r>
    </w:p>
    <w:p w14:paraId="6B63394E" w14:textId="69E2BCA6" w:rsidR="00EB4A5A" w:rsidRDefault="00EB4A5A" w:rsidP="00DC77E8">
      <w:pPr>
        <w:jc w:val="both"/>
      </w:pPr>
      <w:r>
        <w:t xml:space="preserve">Furthermore, for large arrays the main contribution to the angular variation comes from the array factor and the choice of element factor has a minor influence. Therefore, </w:t>
      </w:r>
      <w:commentRangeStart w:id="3"/>
      <w:r>
        <w:t xml:space="preserve">the analysis of </w:t>
      </w:r>
      <w:r w:rsidR="00A411C1">
        <w:t>sparse</w:t>
      </w:r>
      <w:r>
        <w:t xml:space="preserve"> sampling </w:t>
      </w:r>
      <w:r w:rsidR="0083112F">
        <w:t>uses</w:t>
      </w:r>
      <w:r>
        <w:t xml:space="preserve"> an isotropic element factor.</w:t>
      </w:r>
      <w:commentRangeEnd w:id="3"/>
      <w:r w:rsidR="0041031C">
        <w:rPr>
          <w:rStyle w:val="CommentReference"/>
        </w:rPr>
        <w:commentReference w:id="3"/>
      </w:r>
    </w:p>
    <w:p w14:paraId="7BCCD9E7" w14:textId="2D982F3E" w:rsidR="001D604A" w:rsidRDefault="001D604A" w:rsidP="001D604A">
      <w:pPr>
        <w:pStyle w:val="Heading1"/>
      </w:pPr>
      <w:r>
        <w:t>Conclusions</w:t>
      </w:r>
    </w:p>
    <w:p w14:paraId="3FEF265B" w14:textId="10A1D90B" w:rsidR="005F22DD" w:rsidRPr="005F22DD" w:rsidRDefault="00940483" w:rsidP="005F22DD">
      <w:r w:rsidRPr="008D7821">
        <w:rPr>
          <w:b/>
        </w:rPr>
        <w:t>Conclusion</w:t>
      </w:r>
      <w:r w:rsidR="007E5263">
        <w:rPr>
          <w:b/>
        </w:rPr>
        <w:t xml:space="preserve"> 1</w:t>
      </w:r>
      <w:r w:rsidRPr="008D7821">
        <w:rPr>
          <w:b/>
        </w:rPr>
        <w:t>:</w:t>
      </w:r>
      <w:r>
        <w:t xml:space="preserve"> A statistical approach is needed to </w:t>
      </w:r>
      <w:r w:rsidR="007403B4">
        <w:t xml:space="preserve">study spurious emissions </w:t>
      </w:r>
      <w:proofErr w:type="gramStart"/>
      <w:r w:rsidR="007403B4">
        <w:t>in order to</w:t>
      </w:r>
      <w:proofErr w:type="gramEnd"/>
      <w:r w:rsidR="007403B4">
        <w:t xml:space="preserve"> find a practical </w:t>
      </w:r>
      <w:r w:rsidR="00D321F7">
        <w:t xml:space="preserve">compromise between </w:t>
      </w:r>
      <w:r w:rsidR="00D55D15">
        <w:t>measurement time and systematic</w:t>
      </w:r>
      <w:r w:rsidR="001D58B0">
        <w:t xml:space="preserve"> correction factor</w:t>
      </w:r>
      <w:r w:rsidR="00D55D15">
        <w:t xml:space="preserve"> for TRP.</w:t>
      </w:r>
    </w:p>
    <w:p w14:paraId="1E6D4D43" w14:textId="449027E2" w:rsidR="009B70C9" w:rsidRDefault="009B70C9">
      <w:r w:rsidRPr="00CA5324">
        <w:rPr>
          <w:b/>
        </w:rPr>
        <w:t>Conclusion 2:</w:t>
      </w:r>
      <w:r>
        <w:t xml:space="preserve"> This paper supports and explains the results of [1]</w:t>
      </w:r>
    </w:p>
    <w:p w14:paraId="33F4F924" w14:textId="002D901A" w:rsidR="007E5263" w:rsidRPr="001D604A" w:rsidRDefault="008522AC">
      <w:r w:rsidRPr="00F10F56">
        <w:rPr>
          <w:b/>
        </w:rPr>
        <w:t xml:space="preserve">Proposal 1: </w:t>
      </w:r>
      <w:r w:rsidR="00F10F56">
        <w:t>Use a statistical approach</w:t>
      </w:r>
      <w:r w:rsidR="00476550">
        <w:t xml:space="preserve"> as described in </w:t>
      </w:r>
      <w:r w:rsidR="009B70C9">
        <w:t>[1]</w:t>
      </w:r>
      <w:r w:rsidR="00F10F56">
        <w:t xml:space="preserve"> </w:t>
      </w:r>
      <w:r w:rsidR="00CA5324">
        <w:t xml:space="preserve">to evaluate </w:t>
      </w:r>
      <w:r w:rsidR="005374AA">
        <w:t xml:space="preserve">systematic correction factors for TRP </w:t>
      </w:r>
      <w:r w:rsidR="00F94E3D">
        <w:t>of</w:t>
      </w:r>
      <w:r w:rsidR="005374AA">
        <w:t xml:space="preserve"> spu</w:t>
      </w:r>
      <w:r w:rsidR="00F94E3D">
        <w:t>rious emissions</w:t>
      </w:r>
      <w:r w:rsidR="005374AA">
        <w:t>.</w:t>
      </w:r>
    </w:p>
    <w:p w14:paraId="1B069D59" w14:textId="6A3E8143" w:rsidR="008C60DE" w:rsidRPr="008D7821" w:rsidRDefault="008C60DE" w:rsidP="008D7821">
      <w:pPr>
        <w:pStyle w:val="Heading1"/>
      </w:pPr>
      <w:r>
        <w:t>References</w:t>
      </w:r>
    </w:p>
    <w:p w14:paraId="1E0B92EC" w14:textId="11DF603F" w:rsidR="00415DA8" w:rsidRPr="008D7821" w:rsidRDefault="00FE6F1C" w:rsidP="002B0EAA">
      <w:r>
        <w:t xml:space="preserve">[1] </w:t>
      </w:r>
      <w:r w:rsidR="003E0A25" w:rsidRPr="00CE0EFD">
        <w:t>R</w:t>
      </w:r>
      <w:r w:rsidR="007B7224" w:rsidRPr="00CE0EFD">
        <w:t>4-180</w:t>
      </w:r>
      <w:r w:rsidR="00A23FC3" w:rsidRPr="00CE0EFD">
        <w:t xml:space="preserve">9095 </w:t>
      </w:r>
      <w:r w:rsidR="003E0A25" w:rsidRPr="008D7821">
        <w:t>TP to TR 37.843: Sparse sampling for spurious emissions</w:t>
      </w:r>
    </w:p>
    <w:p w14:paraId="2263A999" w14:textId="59E91CB8" w:rsidR="006D39B7" w:rsidRDefault="00FE6F1C" w:rsidP="002B0EAA">
      <w:r>
        <w:t xml:space="preserve">[2] </w:t>
      </w:r>
      <w:r w:rsidR="006D39B7" w:rsidRPr="008D7821">
        <w:t xml:space="preserve">R4-1809093 </w:t>
      </w:r>
      <w:r w:rsidR="00F33C0E" w:rsidRPr="008D7821">
        <w:t xml:space="preserve">Discussion - </w:t>
      </w:r>
      <w:r w:rsidR="008B1A96" w:rsidRPr="008D7821">
        <w:t>Sparse grid concept for TRP measurements</w:t>
      </w:r>
    </w:p>
    <w:p w14:paraId="5EFF977B" w14:textId="4587C6B3" w:rsidR="00504F85" w:rsidRDefault="00504F85" w:rsidP="002B0EAA">
      <w:pPr>
        <w:rPr>
          <w:lang w:val="en-US"/>
        </w:rPr>
      </w:pPr>
      <w:r>
        <w:rPr>
          <w:lang w:val="en-US"/>
        </w:rPr>
        <w:t xml:space="preserve">[3] </w:t>
      </w:r>
      <w:proofErr w:type="spellStart"/>
      <w:r w:rsidRPr="00504F85">
        <w:rPr>
          <w:lang w:val="en-US"/>
        </w:rPr>
        <w:t>Ruze</w:t>
      </w:r>
      <w:proofErr w:type="spellEnd"/>
      <w:r w:rsidRPr="00504F85">
        <w:rPr>
          <w:lang w:val="en-US"/>
        </w:rPr>
        <w:t>, J. Antenna tolerance theory --- A review Proceedings of the IEEE, 1966, 54, 633-640</w:t>
      </w:r>
    </w:p>
    <w:p w14:paraId="0D5DB248" w14:textId="5D6E9DBC" w:rsidR="00A4569F" w:rsidRPr="00A4569F" w:rsidRDefault="00AB52DE" w:rsidP="008D7821">
      <w:pPr>
        <w:keepNext/>
        <w:keepLines/>
        <w:overflowPunct w:val="0"/>
        <w:autoSpaceDE w:val="0"/>
        <w:autoSpaceDN w:val="0"/>
        <w:adjustRightInd w:val="0"/>
        <w:spacing w:before="180"/>
        <w:textAlignment w:val="baseline"/>
        <w:outlineLvl w:val="1"/>
        <w:rPr>
          <w:sz w:val="28"/>
          <w:szCs w:val="28"/>
        </w:rPr>
      </w:pPr>
      <w:r w:rsidRPr="008D7821">
        <w:rPr>
          <w:shd w:val="clear" w:color="auto" w:fill="3399FF"/>
          <w:lang w:val="en-US"/>
        </w:rPr>
        <w:t>[4] Allen</w:t>
      </w:r>
      <w:r w:rsidRPr="008D7821">
        <w:rPr>
          <w:lang w:val="en-US"/>
        </w:rPr>
        <w:t xml:space="preserve">, J. </w:t>
      </w:r>
      <w:proofErr w:type="spellStart"/>
      <w:proofErr w:type="gramStart"/>
      <w:r w:rsidRPr="008D7821">
        <w:rPr>
          <w:lang w:val="en-US"/>
        </w:rPr>
        <w:t>L.Some</w:t>
      </w:r>
      <w:proofErr w:type="spellEnd"/>
      <w:proofErr w:type="gramEnd"/>
      <w:r w:rsidRPr="008D7821">
        <w:rPr>
          <w:lang w:val="en-US"/>
        </w:rPr>
        <w:t xml:space="preserve"> Extensions of the Theory of Random Error Effects on Array Patterns, Chapter 3</w:t>
      </w:r>
      <w:r w:rsidR="00DC00FC" w:rsidRPr="005F61E1">
        <w:rPr>
          <w:lang w:val="en-US"/>
        </w:rPr>
        <w:t xml:space="preserve"> </w:t>
      </w:r>
      <w:r w:rsidRPr="008D7821">
        <w:rPr>
          <w:i/>
          <w:iCs/>
          <w:lang w:val="en-US"/>
        </w:rPr>
        <w:t>Lincoln Laborator</w:t>
      </w:r>
      <w:r w:rsidR="00DC00FC" w:rsidRPr="005F61E1">
        <w:rPr>
          <w:i/>
          <w:iCs/>
          <w:lang w:val="en-US"/>
        </w:rPr>
        <w:t>y</w:t>
      </w:r>
      <w:r w:rsidRPr="008D7821">
        <w:rPr>
          <w:i/>
          <w:iCs/>
          <w:lang w:val="en-US"/>
        </w:rPr>
        <w:t xml:space="preserve">, </w:t>
      </w:r>
      <w:r w:rsidRPr="008D7821">
        <w:rPr>
          <w:bCs/>
          <w:lang w:val="en-US"/>
        </w:rPr>
        <w:t>1960</w:t>
      </w:r>
      <w:r w:rsidRPr="008D7821">
        <w:rPr>
          <w:lang w:val="en-US"/>
        </w:rPr>
        <w:t xml:space="preserve"> </w:t>
      </w:r>
    </w:p>
    <w:sectPr w:rsidR="00A4569F" w:rsidRPr="00A4569F">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Aurelian Bria" w:date="2018-08-10T16:01:00Z" w:initials="AB">
    <w:p w14:paraId="78978586" w14:textId="60BEB112" w:rsidR="0042461A" w:rsidRDefault="00767500">
      <w:pPr>
        <w:pStyle w:val="CommentText"/>
      </w:pPr>
      <w:r>
        <w:rPr>
          <w:rStyle w:val="CommentReference"/>
        </w:rPr>
        <w:annotationRef/>
      </w:r>
      <w:r w:rsidR="0042461A">
        <w:t>, except harmonics, right?</w:t>
      </w:r>
    </w:p>
  </w:comment>
  <w:comment w:id="2" w:author="Jonas Friden" w:date="2018-08-10T15:03:00Z" w:initials="JF">
    <w:p w14:paraId="6AD157A5" w14:textId="65490634" w:rsidR="00942A33" w:rsidRDefault="00942A33">
      <w:pPr>
        <w:pStyle w:val="CommentText"/>
      </w:pPr>
      <w:r>
        <w:rPr>
          <w:rStyle w:val="CommentReference"/>
        </w:rPr>
        <w:annotationRef/>
      </w:r>
      <w:r w:rsidR="00243CA9">
        <w:t>Yes</w:t>
      </w:r>
    </w:p>
    <w:p w14:paraId="0159F889" w14:textId="1C4A55FC" w:rsidR="00243CA9" w:rsidRDefault="00243CA9">
      <w:pPr>
        <w:pStyle w:val="CommentText"/>
      </w:pPr>
    </w:p>
  </w:comment>
  <w:comment w:id="3" w:author="Aurelian Bria" w:date="2018-08-10T16:09:00Z" w:initials="AB">
    <w:p w14:paraId="023B2DB3" w14:textId="49F5AEDF" w:rsidR="0041031C" w:rsidRDefault="0041031C">
      <w:pPr>
        <w:pStyle w:val="CommentText"/>
      </w:pPr>
      <w:r>
        <w:rPr>
          <w:rStyle w:val="CommentReference"/>
        </w:rPr>
        <w:annotationRef/>
      </w:r>
      <w:r>
        <w:t>Which analysis?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978586" w15:done="0"/>
  <w15:commentEx w15:paraId="0159F889" w15:paraIdParent="78978586" w15:done="0"/>
  <w15:commentEx w15:paraId="023B2D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978586" w16cid:durableId="1F183562"/>
  <w16cid:commentId w16cid:paraId="0159F889" w16cid:durableId="1F1827DE"/>
  <w16cid:commentId w16cid:paraId="023B2DB3" w16cid:durableId="1F1837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73882" w14:textId="77777777" w:rsidR="00EE7CA0" w:rsidRDefault="00EE7CA0">
      <w:pPr>
        <w:spacing w:after="0"/>
      </w:pPr>
      <w:r>
        <w:separator/>
      </w:r>
    </w:p>
  </w:endnote>
  <w:endnote w:type="continuationSeparator" w:id="0">
    <w:p w14:paraId="11070937" w14:textId="77777777" w:rsidR="00EE7CA0" w:rsidRDefault="00EE7CA0">
      <w:pPr>
        <w:spacing w:after="0"/>
      </w:pPr>
      <w:r>
        <w:continuationSeparator/>
      </w:r>
    </w:p>
  </w:endnote>
  <w:endnote w:type="continuationNotice" w:id="1">
    <w:p w14:paraId="560F6823" w14:textId="77777777" w:rsidR="00EE7CA0" w:rsidRDefault="00EE7C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5E669" w14:textId="77777777" w:rsidR="00E75BB8" w:rsidRDefault="00E75B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1ED4B" w14:textId="77777777" w:rsidR="00EE7CA0" w:rsidRDefault="00EE7CA0">
      <w:pPr>
        <w:spacing w:after="0"/>
      </w:pPr>
      <w:r>
        <w:separator/>
      </w:r>
    </w:p>
  </w:footnote>
  <w:footnote w:type="continuationSeparator" w:id="0">
    <w:p w14:paraId="58EC06F0" w14:textId="77777777" w:rsidR="00EE7CA0" w:rsidRDefault="00EE7CA0">
      <w:pPr>
        <w:spacing w:after="0"/>
      </w:pPr>
      <w:r>
        <w:continuationSeparator/>
      </w:r>
    </w:p>
  </w:footnote>
  <w:footnote w:type="continuationNotice" w:id="1">
    <w:p w14:paraId="48DEA693" w14:textId="77777777" w:rsidR="00EE7CA0" w:rsidRDefault="00EE7C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E8421" w14:textId="77777777" w:rsidR="00E75BB8" w:rsidRDefault="00E75BB8">
    <w:pPr>
      <w:framePr w:h="284" w:hRule="exact" w:wrap="around" w:vAnchor="text" w:hAnchor="margin" w:xAlign="right" w:y="1"/>
      <w:rPr>
        <w:rFonts w:ascii="Arial" w:hAnsi="Arial" w:cs="Arial"/>
        <w:b/>
        <w:sz w:val="18"/>
        <w:szCs w:val="18"/>
      </w:rPr>
    </w:pPr>
  </w:p>
  <w:p w14:paraId="719FC7EB" w14:textId="61C673ED" w:rsidR="00E75BB8" w:rsidRDefault="00E75B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4627">
      <w:rPr>
        <w:rFonts w:ascii="Arial" w:hAnsi="Arial" w:cs="Arial"/>
        <w:b/>
        <w:noProof/>
        <w:sz w:val="18"/>
        <w:szCs w:val="18"/>
      </w:rPr>
      <w:t>14</w:t>
    </w:r>
    <w:r>
      <w:rPr>
        <w:rFonts w:ascii="Arial" w:hAnsi="Arial" w:cs="Arial"/>
        <w:b/>
        <w:sz w:val="18"/>
        <w:szCs w:val="18"/>
      </w:rPr>
      <w:fldChar w:fldCharType="end"/>
    </w:r>
  </w:p>
  <w:p w14:paraId="19C56BB9" w14:textId="77777777" w:rsidR="00E75BB8" w:rsidRDefault="00E75BB8">
    <w:pPr>
      <w:framePr w:h="284" w:hRule="exact" w:wrap="around" w:vAnchor="text" w:hAnchor="margin" w:y="7"/>
      <w:rPr>
        <w:rFonts w:ascii="Arial" w:hAnsi="Arial" w:cs="Arial"/>
        <w:b/>
        <w:sz w:val="18"/>
        <w:szCs w:val="18"/>
      </w:rPr>
    </w:pPr>
  </w:p>
  <w:p w14:paraId="45C25AAB" w14:textId="77777777" w:rsidR="00E75BB8" w:rsidRDefault="00E75B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D7523"/>
    <w:multiLevelType w:val="hybridMultilevel"/>
    <w:tmpl w:val="FA30888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A2629AD"/>
    <w:multiLevelType w:val="multilevel"/>
    <w:tmpl w:val="3A426F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3F747AB"/>
    <w:multiLevelType w:val="hybridMultilevel"/>
    <w:tmpl w:val="57966B1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5BB1802"/>
    <w:multiLevelType w:val="hybridMultilevel"/>
    <w:tmpl w:val="57966B1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6164AE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B85632E"/>
    <w:multiLevelType w:val="hybridMultilevel"/>
    <w:tmpl w:val="FA30888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F400F16"/>
    <w:multiLevelType w:val="hybridMultilevel"/>
    <w:tmpl w:val="02C476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B0642E2"/>
    <w:multiLevelType w:val="singleLevel"/>
    <w:tmpl w:val="5B0642E2"/>
    <w:lvl w:ilvl="0">
      <w:start w:val="1"/>
      <w:numFmt w:val="bullet"/>
      <w:lvlText w:val="−"/>
      <w:lvlJc w:val="left"/>
      <w:pPr>
        <w:ind w:left="420" w:hanging="420"/>
      </w:pPr>
      <w:rPr>
        <w:rFonts w:ascii="Arial" w:hAnsi="Arial" w:cs="Arial" w:hint="default"/>
      </w:rPr>
    </w:lvl>
  </w:abstractNum>
  <w:abstractNum w:abstractNumId="9" w15:restartNumberingAfterBreak="0">
    <w:nsid w:val="5E8E2A90"/>
    <w:multiLevelType w:val="hybridMultilevel"/>
    <w:tmpl w:val="C9A8CE9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CA418AA"/>
    <w:multiLevelType w:val="hybridMultilevel"/>
    <w:tmpl w:val="57966B1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E9808D7"/>
    <w:multiLevelType w:val="hybridMultilevel"/>
    <w:tmpl w:val="57966B1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858132E"/>
    <w:multiLevelType w:val="hybridMultilevel"/>
    <w:tmpl w:val="04684FCE"/>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num w:numId="1">
    <w:abstractNumId w:val="4"/>
  </w:num>
  <w:num w:numId="2">
    <w:abstractNumId w:val="6"/>
  </w:num>
  <w:num w:numId="3">
    <w:abstractNumId w:val="6"/>
    <w:lvlOverride w:ilvl="0">
      <w:startOverride w:val="1"/>
    </w:lvlOverride>
    <w:lvlOverride w:ilvl="1">
      <w:startOverride w:val="1"/>
    </w:lvlOverride>
    <w:lvlOverride w:ilvl="2">
      <w:startOverride w:val="1"/>
    </w:lvlOverride>
  </w:num>
  <w:num w:numId="4">
    <w:abstractNumId w:val="8"/>
  </w:num>
  <w:num w:numId="5">
    <w:abstractNumId w:val="2"/>
  </w:num>
  <w:num w:numId="6">
    <w:abstractNumId w:val="7"/>
  </w:num>
  <w:num w:numId="7">
    <w:abstractNumId w:val="3"/>
  </w:num>
  <w:num w:numId="8">
    <w:abstractNumId w:val="11"/>
  </w:num>
  <w:num w:numId="9">
    <w:abstractNumId w:val="0"/>
  </w:num>
  <w:num w:numId="10">
    <w:abstractNumId w:val="5"/>
  </w:num>
  <w:num w:numId="11">
    <w:abstractNumId w:val="10"/>
  </w:num>
  <w:num w:numId="12">
    <w:abstractNumId w:val="9"/>
  </w:num>
  <w:num w:numId="13">
    <w:abstractNumId w:val="12"/>
  </w:num>
  <w:num w:numId="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rson w15:author="Jonas Friden">
    <w15:presenceInfo w15:providerId="AD" w15:userId="S-1-5-21-1538607324-3213881460-940295383-4427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BEE"/>
    <w:rsid w:val="0000206D"/>
    <w:rsid w:val="0000504E"/>
    <w:rsid w:val="000135CD"/>
    <w:rsid w:val="000149FE"/>
    <w:rsid w:val="00015A5B"/>
    <w:rsid w:val="000302AE"/>
    <w:rsid w:val="00040844"/>
    <w:rsid w:val="00045D7E"/>
    <w:rsid w:val="00047D21"/>
    <w:rsid w:val="000522CC"/>
    <w:rsid w:val="00053DC1"/>
    <w:rsid w:val="00054D03"/>
    <w:rsid w:val="000571F1"/>
    <w:rsid w:val="00057DD6"/>
    <w:rsid w:val="00062B6D"/>
    <w:rsid w:val="00063F0E"/>
    <w:rsid w:val="00064FF8"/>
    <w:rsid w:val="0006572D"/>
    <w:rsid w:val="00065E95"/>
    <w:rsid w:val="00066CCF"/>
    <w:rsid w:val="0007672F"/>
    <w:rsid w:val="000860CF"/>
    <w:rsid w:val="00087F3B"/>
    <w:rsid w:val="0009388D"/>
    <w:rsid w:val="000A02FE"/>
    <w:rsid w:val="000A1F5C"/>
    <w:rsid w:val="000B3E7B"/>
    <w:rsid w:val="000B58C0"/>
    <w:rsid w:val="000B699C"/>
    <w:rsid w:val="000C1084"/>
    <w:rsid w:val="000C64DA"/>
    <w:rsid w:val="000C6BF2"/>
    <w:rsid w:val="000E25E8"/>
    <w:rsid w:val="000E4A1B"/>
    <w:rsid w:val="000F7227"/>
    <w:rsid w:val="001127CA"/>
    <w:rsid w:val="001206AE"/>
    <w:rsid w:val="001216BD"/>
    <w:rsid w:val="00147052"/>
    <w:rsid w:val="00150AD7"/>
    <w:rsid w:val="0016168E"/>
    <w:rsid w:val="00167EF9"/>
    <w:rsid w:val="00180D86"/>
    <w:rsid w:val="00181D7E"/>
    <w:rsid w:val="00184AE6"/>
    <w:rsid w:val="001A17D5"/>
    <w:rsid w:val="001A3653"/>
    <w:rsid w:val="001B0A86"/>
    <w:rsid w:val="001B2F62"/>
    <w:rsid w:val="001D01D7"/>
    <w:rsid w:val="001D43F7"/>
    <w:rsid w:val="001D51C4"/>
    <w:rsid w:val="001D58B0"/>
    <w:rsid w:val="001D604A"/>
    <w:rsid w:val="001E3D23"/>
    <w:rsid w:val="001E3E02"/>
    <w:rsid w:val="001F1B5D"/>
    <w:rsid w:val="00226F69"/>
    <w:rsid w:val="00230CDE"/>
    <w:rsid w:val="00236825"/>
    <w:rsid w:val="00243CA9"/>
    <w:rsid w:val="00245FED"/>
    <w:rsid w:val="002510A4"/>
    <w:rsid w:val="002525C4"/>
    <w:rsid w:val="00252694"/>
    <w:rsid w:val="0025493C"/>
    <w:rsid w:val="00255E12"/>
    <w:rsid w:val="002656E4"/>
    <w:rsid w:val="002712E2"/>
    <w:rsid w:val="00272553"/>
    <w:rsid w:val="002841BA"/>
    <w:rsid w:val="00284231"/>
    <w:rsid w:val="002855CC"/>
    <w:rsid w:val="00294427"/>
    <w:rsid w:val="002A0F76"/>
    <w:rsid w:val="002A259E"/>
    <w:rsid w:val="002A5E18"/>
    <w:rsid w:val="002A5E5E"/>
    <w:rsid w:val="002A5ED2"/>
    <w:rsid w:val="002B0C2D"/>
    <w:rsid w:val="002B0EAA"/>
    <w:rsid w:val="002B3B50"/>
    <w:rsid w:val="002B4877"/>
    <w:rsid w:val="002D53A2"/>
    <w:rsid w:val="002D6F9D"/>
    <w:rsid w:val="002E29D4"/>
    <w:rsid w:val="002E69D4"/>
    <w:rsid w:val="002F0422"/>
    <w:rsid w:val="002F7662"/>
    <w:rsid w:val="00300F0B"/>
    <w:rsid w:val="003045CA"/>
    <w:rsid w:val="003127C4"/>
    <w:rsid w:val="00312B89"/>
    <w:rsid w:val="00314C11"/>
    <w:rsid w:val="00317AFD"/>
    <w:rsid w:val="00320471"/>
    <w:rsid w:val="003515B7"/>
    <w:rsid w:val="00365672"/>
    <w:rsid w:val="00367C2D"/>
    <w:rsid w:val="003711AF"/>
    <w:rsid w:val="00392AB6"/>
    <w:rsid w:val="00397F2D"/>
    <w:rsid w:val="003A19F7"/>
    <w:rsid w:val="003A6ACF"/>
    <w:rsid w:val="003C2DE6"/>
    <w:rsid w:val="003C760A"/>
    <w:rsid w:val="003D2797"/>
    <w:rsid w:val="003E0A25"/>
    <w:rsid w:val="003E1B1A"/>
    <w:rsid w:val="003F419D"/>
    <w:rsid w:val="00402466"/>
    <w:rsid w:val="00404748"/>
    <w:rsid w:val="00405753"/>
    <w:rsid w:val="004058B3"/>
    <w:rsid w:val="0041031C"/>
    <w:rsid w:val="00415DA8"/>
    <w:rsid w:val="004213D9"/>
    <w:rsid w:val="0042461A"/>
    <w:rsid w:val="00426F48"/>
    <w:rsid w:val="004349D7"/>
    <w:rsid w:val="0044233D"/>
    <w:rsid w:val="00460B38"/>
    <w:rsid w:val="00466E7B"/>
    <w:rsid w:val="00472FF5"/>
    <w:rsid w:val="00476550"/>
    <w:rsid w:val="00476873"/>
    <w:rsid w:val="0047790C"/>
    <w:rsid w:val="00485C76"/>
    <w:rsid w:val="004A0AA1"/>
    <w:rsid w:val="004A1C95"/>
    <w:rsid w:val="004B41F4"/>
    <w:rsid w:val="004C3E5A"/>
    <w:rsid w:val="004D086A"/>
    <w:rsid w:val="004D1A27"/>
    <w:rsid w:val="004D304A"/>
    <w:rsid w:val="004D3F74"/>
    <w:rsid w:val="004D4B4D"/>
    <w:rsid w:val="004D6992"/>
    <w:rsid w:val="004E0A8B"/>
    <w:rsid w:val="004E6CB9"/>
    <w:rsid w:val="004F00A4"/>
    <w:rsid w:val="004F0D8B"/>
    <w:rsid w:val="004F5C9B"/>
    <w:rsid w:val="00504F85"/>
    <w:rsid w:val="00515CE5"/>
    <w:rsid w:val="0052032D"/>
    <w:rsid w:val="005304D7"/>
    <w:rsid w:val="005374AA"/>
    <w:rsid w:val="00555340"/>
    <w:rsid w:val="00560855"/>
    <w:rsid w:val="00562C9C"/>
    <w:rsid w:val="00563E09"/>
    <w:rsid w:val="00564DCD"/>
    <w:rsid w:val="00575739"/>
    <w:rsid w:val="0058445F"/>
    <w:rsid w:val="00590411"/>
    <w:rsid w:val="005A39EF"/>
    <w:rsid w:val="005A434F"/>
    <w:rsid w:val="005A4843"/>
    <w:rsid w:val="005A4F68"/>
    <w:rsid w:val="005A617A"/>
    <w:rsid w:val="005A78F6"/>
    <w:rsid w:val="005B1599"/>
    <w:rsid w:val="005B647F"/>
    <w:rsid w:val="005C18E9"/>
    <w:rsid w:val="005C4B03"/>
    <w:rsid w:val="005D0FB5"/>
    <w:rsid w:val="005E49CC"/>
    <w:rsid w:val="005F22DD"/>
    <w:rsid w:val="005F61E1"/>
    <w:rsid w:val="00605027"/>
    <w:rsid w:val="00605870"/>
    <w:rsid w:val="006220F0"/>
    <w:rsid w:val="00622553"/>
    <w:rsid w:val="006256A1"/>
    <w:rsid w:val="00633661"/>
    <w:rsid w:val="00633CB9"/>
    <w:rsid w:val="00641FB6"/>
    <w:rsid w:val="00646452"/>
    <w:rsid w:val="00646DF0"/>
    <w:rsid w:val="006605FA"/>
    <w:rsid w:val="00667DC0"/>
    <w:rsid w:val="0068202B"/>
    <w:rsid w:val="006820EE"/>
    <w:rsid w:val="006874F2"/>
    <w:rsid w:val="00690113"/>
    <w:rsid w:val="0069257A"/>
    <w:rsid w:val="00692B7F"/>
    <w:rsid w:val="00696D37"/>
    <w:rsid w:val="00697174"/>
    <w:rsid w:val="006C29E9"/>
    <w:rsid w:val="006D057B"/>
    <w:rsid w:val="006D22A1"/>
    <w:rsid w:val="006D2FD4"/>
    <w:rsid w:val="006D39B7"/>
    <w:rsid w:val="006D416C"/>
    <w:rsid w:val="006D650B"/>
    <w:rsid w:val="006E6938"/>
    <w:rsid w:val="0070639C"/>
    <w:rsid w:val="00712E05"/>
    <w:rsid w:val="00720C14"/>
    <w:rsid w:val="00732763"/>
    <w:rsid w:val="007403B4"/>
    <w:rsid w:val="00751D16"/>
    <w:rsid w:val="00755F64"/>
    <w:rsid w:val="0075640E"/>
    <w:rsid w:val="00764139"/>
    <w:rsid w:val="00767500"/>
    <w:rsid w:val="0077339E"/>
    <w:rsid w:val="00775DF6"/>
    <w:rsid w:val="00776AE9"/>
    <w:rsid w:val="00776CD4"/>
    <w:rsid w:val="007823DE"/>
    <w:rsid w:val="00782982"/>
    <w:rsid w:val="007A0B36"/>
    <w:rsid w:val="007A54C3"/>
    <w:rsid w:val="007A5D8E"/>
    <w:rsid w:val="007A69BA"/>
    <w:rsid w:val="007B2472"/>
    <w:rsid w:val="007B7224"/>
    <w:rsid w:val="007C0698"/>
    <w:rsid w:val="007C28F3"/>
    <w:rsid w:val="007C494C"/>
    <w:rsid w:val="007C789B"/>
    <w:rsid w:val="007D142A"/>
    <w:rsid w:val="007E0A93"/>
    <w:rsid w:val="007E5263"/>
    <w:rsid w:val="007E6107"/>
    <w:rsid w:val="007F3419"/>
    <w:rsid w:val="00806F95"/>
    <w:rsid w:val="008268A5"/>
    <w:rsid w:val="0083112F"/>
    <w:rsid w:val="008345B1"/>
    <w:rsid w:val="00834849"/>
    <w:rsid w:val="008355DB"/>
    <w:rsid w:val="00850759"/>
    <w:rsid w:val="008522AC"/>
    <w:rsid w:val="00853F38"/>
    <w:rsid w:val="008648AA"/>
    <w:rsid w:val="00864F43"/>
    <w:rsid w:val="00867857"/>
    <w:rsid w:val="0087156D"/>
    <w:rsid w:val="00883066"/>
    <w:rsid w:val="00884611"/>
    <w:rsid w:val="00887203"/>
    <w:rsid w:val="008900EF"/>
    <w:rsid w:val="00892446"/>
    <w:rsid w:val="008A3C67"/>
    <w:rsid w:val="008B1A96"/>
    <w:rsid w:val="008B4FAA"/>
    <w:rsid w:val="008B7BD7"/>
    <w:rsid w:val="008C22A9"/>
    <w:rsid w:val="008C60DE"/>
    <w:rsid w:val="008D625D"/>
    <w:rsid w:val="008D7821"/>
    <w:rsid w:val="008E4B71"/>
    <w:rsid w:val="008E5CA1"/>
    <w:rsid w:val="008E76BE"/>
    <w:rsid w:val="008F2499"/>
    <w:rsid w:val="009032AB"/>
    <w:rsid w:val="009045AA"/>
    <w:rsid w:val="00905554"/>
    <w:rsid w:val="00911E3A"/>
    <w:rsid w:val="00914712"/>
    <w:rsid w:val="009147C2"/>
    <w:rsid w:val="00922D1A"/>
    <w:rsid w:val="00935C19"/>
    <w:rsid w:val="00940483"/>
    <w:rsid w:val="00942A33"/>
    <w:rsid w:val="00955356"/>
    <w:rsid w:val="0095694D"/>
    <w:rsid w:val="00956F0C"/>
    <w:rsid w:val="00961AA2"/>
    <w:rsid w:val="00964982"/>
    <w:rsid w:val="00973644"/>
    <w:rsid w:val="00973FC6"/>
    <w:rsid w:val="00983BAD"/>
    <w:rsid w:val="00996D5B"/>
    <w:rsid w:val="009B6205"/>
    <w:rsid w:val="009B70C9"/>
    <w:rsid w:val="009D2A34"/>
    <w:rsid w:val="009E29AE"/>
    <w:rsid w:val="009E2AF3"/>
    <w:rsid w:val="009F1143"/>
    <w:rsid w:val="009F37B3"/>
    <w:rsid w:val="009F424A"/>
    <w:rsid w:val="009F627A"/>
    <w:rsid w:val="00A016A0"/>
    <w:rsid w:val="00A026DA"/>
    <w:rsid w:val="00A02B18"/>
    <w:rsid w:val="00A17A08"/>
    <w:rsid w:val="00A2287F"/>
    <w:rsid w:val="00A23FC3"/>
    <w:rsid w:val="00A37FCB"/>
    <w:rsid w:val="00A411C1"/>
    <w:rsid w:val="00A4569F"/>
    <w:rsid w:val="00A504ED"/>
    <w:rsid w:val="00A50893"/>
    <w:rsid w:val="00A66464"/>
    <w:rsid w:val="00A730BF"/>
    <w:rsid w:val="00A95F55"/>
    <w:rsid w:val="00A96E1F"/>
    <w:rsid w:val="00AA1787"/>
    <w:rsid w:val="00AA4F02"/>
    <w:rsid w:val="00AB0D06"/>
    <w:rsid w:val="00AB52DE"/>
    <w:rsid w:val="00AD5968"/>
    <w:rsid w:val="00AE4B98"/>
    <w:rsid w:val="00AE7FBE"/>
    <w:rsid w:val="00AF2BE8"/>
    <w:rsid w:val="00AF5AE6"/>
    <w:rsid w:val="00B07A4C"/>
    <w:rsid w:val="00B23F82"/>
    <w:rsid w:val="00B24BD1"/>
    <w:rsid w:val="00B256D4"/>
    <w:rsid w:val="00B31873"/>
    <w:rsid w:val="00B336DE"/>
    <w:rsid w:val="00B344F6"/>
    <w:rsid w:val="00B36305"/>
    <w:rsid w:val="00B47927"/>
    <w:rsid w:val="00B50151"/>
    <w:rsid w:val="00B5049E"/>
    <w:rsid w:val="00B51A81"/>
    <w:rsid w:val="00B527E5"/>
    <w:rsid w:val="00B54D91"/>
    <w:rsid w:val="00B565C6"/>
    <w:rsid w:val="00B569AE"/>
    <w:rsid w:val="00B60D7C"/>
    <w:rsid w:val="00B70680"/>
    <w:rsid w:val="00B96F6A"/>
    <w:rsid w:val="00BA0366"/>
    <w:rsid w:val="00BA12FC"/>
    <w:rsid w:val="00BB0A7D"/>
    <w:rsid w:val="00BC2F54"/>
    <w:rsid w:val="00BC3BF0"/>
    <w:rsid w:val="00BC70F5"/>
    <w:rsid w:val="00BD2788"/>
    <w:rsid w:val="00BD30FB"/>
    <w:rsid w:val="00BD3268"/>
    <w:rsid w:val="00BD35A4"/>
    <w:rsid w:val="00BD61BE"/>
    <w:rsid w:val="00BD7DE0"/>
    <w:rsid w:val="00BE2E55"/>
    <w:rsid w:val="00BF00FE"/>
    <w:rsid w:val="00BF26A6"/>
    <w:rsid w:val="00C00381"/>
    <w:rsid w:val="00C20D96"/>
    <w:rsid w:val="00C24E10"/>
    <w:rsid w:val="00C27EB3"/>
    <w:rsid w:val="00C330F5"/>
    <w:rsid w:val="00C369F1"/>
    <w:rsid w:val="00C4097F"/>
    <w:rsid w:val="00C50730"/>
    <w:rsid w:val="00C50916"/>
    <w:rsid w:val="00C64340"/>
    <w:rsid w:val="00C64475"/>
    <w:rsid w:val="00C8737D"/>
    <w:rsid w:val="00C87D97"/>
    <w:rsid w:val="00C946FF"/>
    <w:rsid w:val="00C94F9B"/>
    <w:rsid w:val="00C95A55"/>
    <w:rsid w:val="00CA261D"/>
    <w:rsid w:val="00CA3E98"/>
    <w:rsid w:val="00CA5324"/>
    <w:rsid w:val="00CB5C63"/>
    <w:rsid w:val="00CC129B"/>
    <w:rsid w:val="00CC1B0F"/>
    <w:rsid w:val="00CC34C9"/>
    <w:rsid w:val="00CC41E7"/>
    <w:rsid w:val="00CC51AE"/>
    <w:rsid w:val="00CD718A"/>
    <w:rsid w:val="00CE0EFD"/>
    <w:rsid w:val="00CE6D12"/>
    <w:rsid w:val="00D07D28"/>
    <w:rsid w:val="00D13116"/>
    <w:rsid w:val="00D2156B"/>
    <w:rsid w:val="00D21D7E"/>
    <w:rsid w:val="00D26F4C"/>
    <w:rsid w:val="00D307F4"/>
    <w:rsid w:val="00D321F7"/>
    <w:rsid w:val="00D4308E"/>
    <w:rsid w:val="00D45B47"/>
    <w:rsid w:val="00D510B4"/>
    <w:rsid w:val="00D536CC"/>
    <w:rsid w:val="00D55069"/>
    <w:rsid w:val="00D55142"/>
    <w:rsid w:val="00D55D15"/>
    <w:rsid w:val="00D83048"/>
    <w:rsid w:val="00D9207B"/>
    <w:rsid w:val="00D92D88"/>
    <w:rsid w:val="00DA3C1F"/>
    <w:rsid w:val="00DA429D"/>
    <w:rsid w:val="00DB2105"/>
    <w:rsid w:val="00DB50DA"/>
    <w:rsid w:val="00DB58BA"/>
    <w:rsid w:val="00DC00FC"/>
    <w:rsid w:val="00DC212A"/>
    <w:rsid w:val="00DC77E8"/>
    <w:rsid w:val="00DD3664"/>
    <w:rsid w:val="00DE5AA3"/>
    <w:rsid w:val="00DE7092"/>
    <w:rsid w:val="00DF01D6"/>
    <w:rsid w:val="00DF4AA6"/>
    <w:rsid w:val="00E03770"/>
    <w:rsid w:val="00E04001"/>
    <w:rsid w:val="00E04627"/>
    <w:rsid w:val="00E06EB6"/>
    <w:rsid w:val="00E12406"/>
    <w:rsid w:val="00E20347"/>
    <w:rsid w:val="00E3421C"/>
    <w:rsid w:val="00E440EF"/>
    <w:rsid w:val="00E45500"/>
    <w:rsid w:val="00E46D9E"/>
    <w:rsid w:val="00E54BEE"/>
    <w:rsid w:val="00E75BB8"/>
    <w:rsid w:val="00E82D06"/>
    <w:rsid w:val="00E85044"/>
    <w:rsid w:val="00EA3D04"/>
    <w:rsid w:val="00EB24E3"/>
    <w:rsid w:val="00EB4A5A"/>
    <w:rsid w:val="00EB6B72"/>
    <w:rsid w:val="00ED77B1"/>
    <w:rsid w:val="00EE4415"/>
    <w:rsid w:val="00EE5D2B"/>
    <w:rsid w:val="00EE7CA0"/>
    <w:rsid w:val="00EF3729"/>
    <w:rsid w:val="00EF3B27"/>
    <w:rsid w:val="00F079BB"/>
    <w:rsid w:val="00F10B50"/>
    <w:rsid w:val="00F10C4E"/>
    <w:rsid w:val="00F10F56"/>
    <w:rsid w:val="00F1209E"/>
    <w:rsid w:val="00F22DE0"/>
    <w:rsid w:val="00F24510"/>
    <w:rsid w:val="00F26A51"/>
    <w:rsid w:val="00F32BFF"/>
    <w:rsid w:val="00F33C0E"/>
    <w:rsid w:val="00F379A0"/>
    <w:rsid w:val="00F44413"/>
    <w:rsid w:val="00F53F24"/>
    <w:rsid w:val="00F5430B"/>
    <w:rsid w:val="00F5491B"/>
    <w:rsid w:val="00F61B16"/>
    <w:rsid w:val="00F656DA"/>
    <w:rsid w:val="00F6791E"/>
    <w:rsid w:val="00F67C06"/>
    <w:rsid w:val="00F707D0"/>
    <w:rsid w:val="00F752F5"/>
    <w:rsid w:val="00F81F33"/>
    <w:rsid w:val="00F84CBB"/>
    <w:rsid w:val="00F860A0"/>
    <w:rsid w:val="00F94CC5"/>
    <w:rsid w:val="00F94E3D"/>
    <w:rsid w:val="00F97EAA"/>
    <w:rsid w:val="00FC25EE"/>
    <w:rsid w:val="00FD6841"/>
    <w:rsid w:val="00FE0408"/>
    <w:rsid w:val="00FE3CA3"/>
    <w:rsid w:val="00FE6F1C"/>
    <w:rsid w:val="00FF3F92"/>
    <w:rsid w:val="00FF54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6BBB3A"/>
  <w15:chartTrackingRefBased/>
  <w15:docId w15:val="{116FAA6F-15F1-4C02-94C4-212203474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4BEE"/>
    <w:pPr>
      <w:spacing w:after="180"/>
    </w:pPr>
    <w:rPr>
      <w:rFonts w:ascii="Times New Roman" w:eastAsia="Times New Roman" w:hAnsi="Times New Roman" w:cs="Times New Roman"/>
      <w:lang w:val="en-GB"/>
    </w:rPr>
  </w:style>
  <w:style w:type="paragraph" w:styleId="Heading1">
    <w:name w:val="heading 1"/>
    <w:next w:val="Normal"/>
    <w:link w:val="Heading1Char"/>
    <w:qFormat/>
    <w:rsid w:val="00E54BEE"/>
    <w:pPr>
      <w:keepNext/>
      <w:keepLines/>
      <w:pBdr>
        <w:top w:val="single" w:sz="12" w:space="3" w:color="auto"/>
      </w:pBdr>
      <w:spacing w:before="240" w:after="180"/>
      <w:ind w:left="1134" w:hanging="1134"/>
      <w:outlineLvl w:val="0"/>
    </w:pPr>
    <w:rPr>
      <w:rFonts w:ascii="Arial" w:eastAsia="Times New Roman" w:hAnsi="Arial" w:cs="Times New Roman"/>
      <w:sz w:val="36"/>
      <w:lang w:val="en-GB"/>
    </w:rPr>
  </w:style>
  <w:style w:type="paragraph" w:styleId="Heading2">
    <w:name w:val="heading 2"/>
    <w:basedOn w:val="Normal"/>
    <w:next w:val="Normal"/>
    <w:link w:val="Heading2Char"/>
    <w:uiPriority w:val="9"/>
    <w:unhideWhenUsed/>
    <w:qFormat/>
    <w:rsid w:val="00BF00FE"/>
    <w:pPr>
      <w:keepNext/>
      <w:keepLines/>
      <w:spacing w:before="40" w:after="0" w:line="259" w:lineRule="auto"/>
      <w:outlineLvl w:val="1"/>
    </w:pPr>
    <w:rPr>
      <w:rFonts w:ascii="Calibri Light" w:hAnsi="Calibri Light"/>
      <w:color w:val="2F5496"/>
      <w:sz w:val="26"/>
      <w:szCs w:val="26"/>
      <w:lang w:val="en-US"/>
    </w:rPr>
  </w:style>
  <w:style w:type="paragraph" w:styleId="Heading3">
    <w:name w:val="heading 3"/>
    <w:basedOn w:val="Normal"/>
    <w:next w:val="Normal"/>
    <w:link w:val="Heading3Char"/>
    <w:uiPriority w:val="9"/>
    <w:unhideWhenUsed/>
    <w:qFormat/>
    <w:rsid w:val="00F4441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6820EE"/>
    <w:pPr>
      <w:keepNext/>
      <w:keepLines/>
      <w:spacing w:before="40" w:after="0"/>
      <w:outlineLvl w:val="3"/>
    </w:pPr>
    <w:rPr>
      <w:rFonts w:ascii="Calibri Light" w:hAnsi="Calibri Light"/>
      <w:i/>
      <w:iCs/>
      <w:color w:val="2F5496"/>
    </w:rPr>
  </w:style>
  <w:style w:type="paragraph" w:styleId="Heading5">
    <w:name w:val="heading 5"/>
    <w:basedOn w:val="Normal"/>
    <w:next w:val="Normal"/>
    <w:link w:val="Heading5Char"/>
    <w:uiPriority w:val="9"/>
    <w:unhideWhenUsed/>
    <w:qFormat/>
    <w:rsid w:val="00F4441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F44413"/>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unhideWhenUsed/>
    <w:qFormat/>
    <w:rsid w:val="00F44413"/>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F4441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54BEE"/>
    <w:rPr>
      <w:rFonts w:ascii="Arial" w:eastAsia="Times New Roman" w:hAnsi="Arial" w:cs="Times New Roman"/>
      <w:sz w:val="36"/>
      <w:szCs w:val="20"/>
      <w:lang w:val="en-GB"/>
    </w:rPr>
  </w:style>
  <w:style w:type="paragraph" w:styleId="Header">
    <w:name w:val="header"/>
    <w:link w:val="HeaderChar"/>
    <w:rsid w:val="00E54BEE"/>
    <w:pPr>
      <w:widowControl w:val="0"/>
      <w:overflowPunct w:val="0"/>
      <w:autoSpaceDE w:val="0"/>
      <w:autoSpaceDN w:val="0"/>
      <w:adjustRightInd w:val="0"/>
      <w:textAlignment w:val="baseline"/>
    </w:pPr>
    <w:rPr>
      <w:rFonts w:ascii="Arial" w:eastAsia="Times New Roman" w:hAnsi="Arial" w:cs="Times New Roman"/>
      <w:b/>
      <w:noProof/>
      <w:sz w:val="18"/>
      <w:lang w:val="en-GB" w:eastAsia="ja-JP"/>
    </w:rPr>
  </w:style>
  <w:style w:type="character" w:customStyle="1" w:styleId="HeaderChar">
    <w:name w:val="Header Char"/>
    <w:link w:val="Header"/>
    <w:rsid w:val="00E54BEE"/>
    <w:rPr>
      <w:rFonts w:ascii="Arial" w:eastAsia="Times New Roman" w:hAnsi="Arial" w:cs="Times New Roman"/>
      <w:b/>
      <w:noProof/>
      <w:sz w:val="18"/>
      <w:szCs w:val="20"/>
      <w:lang w:val="en-GB" w:eastAsia="ja-JP"/>
    </w:rPr>
  </w:style>
  <w:style w:type="paragraph" w:styleId="Footer">
    <w:name w:val="footer"/>
    <w:basedOn w:val="Header"/>
    <w:link w:val="FooterChar"/>
    <w:rsid w:val="00E54BEE"/>
    <w:pPr>
      <w:jc w:val="center"/>
    </w:pPr>
    <w:rPr>
      <w:i/>
    </w:rPr>
  </w:style>
  <w:style w:type="character" w:customStyle="1" w:styleId="FooterChar">
    <w:name w:val="Footer Char"/>
    <w:link w:val="Footer"/>
    <w:rsid w:val="00E54BEE"/>
    <w:rPr>
      <w:rFonts w:ascii="Arial" w:eastAsia="Times New Roman" w:hAnsi="Arial" w:cs="Times New Roman"/>
      <w:b/>
      <w:i/>
      <w:noProof/>
      <w:sz w:val="18"/>
      <w:szCs w:val="2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E54BE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54BEE"/>
    <w:rPr>
      <w:rFonts w:ascii="Times New Roman" w:eastAsia="Times New Roman" w:hAnsi="Times New Roman" w:cs="Times New Roman"/>
      <w:sz w:val="20"/>
      <w:szCs w:val="20"/>
      <w:lang w:val="en-GB"/>
    </w:rPr>
  </w:style>
  <w:style w:type="paragraph" w:customStyle="1" w:styleId="CRCoverPage">
    <w:name w:val="CR Cover Page"/>
    <w:link w:val="CRCoverPageChar"/>
    <w:rsid w:val="00E54BEE"/>
    <w:pPr>
      <w:spacing w:after="120"/>
    </w:pPr>
    <w:rPr>
      <w:rFonts w:ascii="Arial" w:eastAsia="Times New Roman" w:hAnsi="Arial" w:cs="Times New Roman"/>
      <w:lang w:val="sv-SE"/>
    </w:rPr>
  </w:style>
  <w:style w:type="character" w:customStyle="1" w:styleId="CRCoverPageChar">
    <w:name w:val="CR Cover Page Char"/>
    <w:link w:val="CRCoverPage"/>
    <w:rsid w:val="00E54BEE"/>
    <w:rPr>
      <w:rFonts w:ascii="Arial" w:eastAsia="Times New Roman" w:hAnsi="Arial" w:cs="Times New Roman"/>
      <w:sz w:val="20"/>
      <w:szCs w:val="20"/>
    </w:rPr>
  </w:style>
  <w:style w:type="character" w:styleId="PlaceholderText">
    <w:name w:val="Placeholder Text"/>
    <w:uiPriority w:val="99"/>
    <w:semiHidden/>
    <w:rsid w:val="0052032D"/>
    <w:rPr>
      <w:color w:val="808080"/>
    </w:rPr>
  </w:style>
  <w:style w:type="character" w:styleId="CommentReference">
    <w:name w:val="annotation reference"/>
    <w:uiPriority w:val="99"/>
    <w:semiHidden/>
    <w:unhideWhenUsed/>
    <w:rsid w:val="004D6992"/>
    <w:rPr>
      <w:sz w:val="16"/>
      <w:szCs w:val="16"/>
    </w:rPr>
  </w:style>
  <w:style w:type="paragraph" w:styleId="CommentText">
    <w:name w:val="annotation text"/>
    <w:basedOn w:val="Normal"/>
    <w:link w:val="CommentTextChar"/>
    <w:uiPriority w:val="99"/>
    <w:semiHidden/>
    <w:unhideWhenUsed/>
    <w:rsid w:val="004D6992"/>
  </w:style>
  <w:style w:type="character" w:customStyle="1" w:styleId="CommentTextChar">
    <w:name w:val="Comment Text Char"/>
    <w:link w:val="CommentText"/>
    <w:uiPriority w:val="99"/>
    <w:semiHidden/>
    <w:rsid w:val="004D699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D6992"/>
    <w:rPr>
      <w:b/>
      <w:bCs/>
    </w:rPr>
  </w:style>
  <w:style w:type="character" w:customStyle="1" w:styleId="CommentSubjectChar">
    <w:name w:val="Comment Subject Char"/>
    <w:link w:val="CommentSubject"/>
    <w:uiPriority w:val="99"/>
    <w:semiHidden/>
    <w:rsid w:val="004D6992"/>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4D6992"/>
    <w:pPr>
      <w:spacing w:after="0"/>
    </w:pPr>
    <w:rPr>
      <w:rFonts w:ascii="Segoe UI" w:hAnsi="Segoe UI" w:cs="Segoe UI"/>
      <w:sz w:val="18"/>
      <w:szCs w:val="18"/>
    </w:rPr>
  </w:style>
  <w:style w:type="character" w:customStyle="1" w:styleId="BalloonTextChar">
    <w:name w:val="Balloon Text Char"/>
    <w:link w:val="BalloonText"/>
    <w:uiPriority w:val="99"/>
    <w:semiHidden/>
    <w:rsid w:val="004D6992"/>
    <w:rPr>
      <w:rFonts w:ascii="Segoe UI" w:eastAsia="Times New Roman" w:hAnsi="Segoe UI" w:cs="Segoe UI"/>
      <w:sz w:val="18"/>
      <w:szCs w:val="18"/>
      <w:lang w:val="en-GB"/>
    </w:rPr>
  </w:style>
  <w:style w:type="character" w:styleId="Hyperlink">
    <w:name w:val="Hyperlink"/>
    <w:rsid w:val="00CC41E7"/>
    <w:rPr>
      <w:color w:val="0563C1"/>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820EE"/>
    <w:rPr>
      <w:rFonts w:ascii="Calibri Light" w:eastAsia="Times New Roman" w:hAnsi="Calibri Light" w:cs="Times New Roman"/>
      <w:i/>
      <w:iCs/>
      <w:color w:val="2F5496"/>
      <w:sz w:val="20"/>
      <w:szCs w:val="20"/>
      <w:lang w:val="en-GB"/>
    </w:rPr>
  </w:style>
  <w:style w:type="character" w:customStyle="1" w:styleId="Heading2Char">
    <w:name w:val="Heading 2 Char"/>
    <w:link w:val="Heading2"/>
    <w:uiPriority w:val="9"/>
    <w:rsid w:val="00BF00FE"/>
    <w:rPr>
      <w:rFonts w:ascii="Calibri Light" w:eastAsia="Times New Roman" w:hAnsi="Calibri Light" w:cs="Times New Roman"/>
      <w:color w:val="2F5496"/>
      <w:sz w:val="26"/>
      <w:szCs w:val="26"/>
      <w:lang w:val="en-US"/>
    </w:rPr>
  </w:style>
  <w:style w:type="table" w:styleId="TableGrid">
    <w:name w:val="Table Grid"/>
    <w:basedOn w:val="TableNormal"/>
    <w:uiPriority w:val="39"/>
    <w:rsid w:val="00BF0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855CC"/>
    <w:pPr>
      <w:ind w:left="720"/>
      <w:contextualSpacing/>
    </w:pPr>
  </w:style>
  <w:style w:type="character" w:customStyle="1" w:styleId="Heading3Char">
    <w:name w:val="Heading 3 Char"/>
    <w:basedOn w:val="DefaultParagraphFont"/>
    <w:link w:val="Heading3"/>
    <w:uiPriority w:val="9"/>
    <w:rsid w:val="00F44413"/>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rsid w:val="00F44413"/>
    <w:rPr>
      <w:rFonts w:asciiTheme="majorHAnsi" w:eastAsiaTheme="majorEastAsia" w:hAnsiTheme="majorHAnsi" w:cstheme="majorBidi"/>
      <w:color w:val="2F5496" w:themeColor="accent1" w:themeShade="BF"/>
      <w:lang w:val="en-GB"/>
    </w:rPr>
  </w:style>
  <w:style w:type="character" w:customStyle="1" w:styleId="Heading8Char">
    <w:name w:val="Heading 8 Char"/>
    <w:basedOn w:val="DefaultParagraphFont"/>
    <w:link w:val="Heading8"/>
    <w:uiPriority w:val="9"/>
    <w:rsid w:val="00F44413"/>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rsid w:val="00F44413"/>
    <w:rPr>
      <w:rFonts w:asciiTheme="majorHAnsi" w:eastAsiaTheme="majorEastAsia" w:hAnsiTheme="majorHAnsi" w:cstheme="majorBidi"/>
      <w:i/>
      <w:iCs/>
      <w:color w:val="272727" w:themeColor="text1" w:themeTint="D8"/>
      <w:sz w:val="21"/>
      <w:szCs w:val="21"/>
      <w:lang w:val="en-GB"/>
    </w:rPr>
  </w:style>
  <w:style w:type="character" w:customStyle="1" w:styleId="Heading6Char">
    <w:name w:val="Heading 6 Char"/>
    <w:basedOn w:val="DefaultParagraphFont"/>
    <w:link w:val="Heading6"/>
    <w:uiPriority w:val="9"/>
    <w:rsid w:val="00F44413"/>
    <w:rPr>
      <w:rFonts w:asciiTheme="majorHAnsi" w:eastAsiaTheme="majorEastAsia" w:hAnsiTheme="majorHAnsi" w:cstheme="majorBidi"/>
      <w:color w:val="1F3763" w:themeColor="accent1" w:themeShade="7F"/>
      <w:lang w:val="en-GB"/>
    </w:rPr>
  </w:style>
  <w:style w:type="paragraph" w:styleId="NoSpacing">
    <w:name w:val="No Spacing"/>
    <w:uiPriority w:val="1"/>
    <w:qFormat/>
    <w:rsid w:val="00575739"/>
    <w:rPr>
      <w:rFonts w:ascii="Times New Roman" w:eastAsia="Times New Roman" w:hAnsi="Times New Roman" w:cs="Times New Roman"/>
      <w:lang w:val="en-GB"/>
    </w:rPr>
  </w:style>
  <w:style w:type="character" w:customStyle="1" w:styleId="ListParagraphChar">
    <w:name w:val="List Paragraph Char"/>
    <w:link w:val="ListParagraph"/>
    <w:uiPriority w:val="34"/>
    <w:locked/>
    <w:rsid w:val="00D21D7E"/>
    <w:rPr>
      <w:rFonts w:ascii="Times New Roman" w:eastAsia="Times New Roman" w:hAnsi="Times New Roman" w:cs="Times New Roman"/>
      <w:lang w:val="en-GB"/>
    </w:rPr>
  </w:style>
  <w:style w:type="character" w:styleId="Emphasis">
    <w:name w:val="Emphasis"/>
    <w:basedOn w:val="DefaultParagraphFont"/>
    <w:uiPriority w:val="20"/>
    <w:qFormat/>
    <w:rsid w:val="00AB52DE"/>
    <w:rPr>
      <w:i/>
      <w:iCs/>
    </w:rPr>
  </w:style>
  <w:style w:type="paragraph" w:styleId="Revision">
    <w:name w:val="Revision"/>
    <w:hidden/>
    <w:uiPriority w:val="99"/>
    <w:semiHidden/>
    <w:rsid w:val="008D7821"/>
    <w:rPr>
      <w:rFonts w:ascii="Times New Roman" w:eastAsia="Times New Roman"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569392">
      <w:bodyDiv w:val="1"/>
      <w:marLeft w:val="0"/>
      <w:marRight w:val="0"/>
      <w:marTop w:val="0"/>
      <w:marBottom w:val="0"/>
      <w:divBdr>
        <w:top w:val="none" w:sz="0" w:space="0" w:color="auto"/>
        <w:left w:val="none" w:sz="0" w:space="0" w:color="auto"/>
        <w:bottom w:val="none" w:sz="0" w:space="0" w:color="auto"/>
        <w:right w:val="none" w:sz="0" w:space="0" w:color="auto"/>
      </w:divBdr>
    </w:div>
    <w:div w:id="938176705">
      <w:bodyDiv w:val="1"/>
      <w:marLeft w:val="0"/>
      <w:marRight w:val="0"/>
      <w:marTop w:val="0"/>
      <w:marBottom w:val="0"/>
      <w:divBdr>
        <w:top w:val="none" w:sz="0" w:space="0" w:color="auto"/>
        <w:left w:val="none" w:sz="0" w:space="0" w:color="auto"/>
        <w:bottom w:val="none" w:sz="0" w:space="0" w:color="auto"/>
        <w:right w:val="none" w:sz="0" w:space="0" w:color="auto"/>
      </w:divBdr>
    </w:div>
    <w:div w:id="111748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commentsExtended" Target="commentsExtended.xm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5NUHHDQN7SK2-1476151046-26574</_dlc_DocId>
    <_dlc_DocIdUrl xmlns="f166a696-7b5b-4ccd-9f0c-ffde0cceec81">
      <Url>https://ericsson.sharepoint.com/sites/star/_layouts/15/DocIdRedir.aspx?ID=5NUHHDQN7SK2-1476151046-26574</Url>
      <Description>5NUHHDQN7SK2-1476151046-26574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931E3-6470-495B-BC2D-074D5A11E608}">
  <ds:schemaRefs>
    <ds:schemaRef ds:uri="http://schemas.microsoft.com/sharepoint/events"/>
  </ds:schemaRefs>
</ds:datastoreItem>
</file>

<file path=customXml/itemProps2.xml><?xml version="1.0" encoding="utf-8"?>
<ds:datastoreItem xmlns:ds="http://schemas.openxmlformats.org/officeDocument/2006/customXml" ds:itemID="{EC8CEA6D-9FDB-4DC5-9B54-B6F463D1AE1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16739EB4-0A56-462E-BC64-D344DBFB3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057036-D2C4-43A5-BD09-EAE216A5A283}">
  <ds:schemaRefs>
    <ds:schemaRef ds:uri="Microsoft.SharePoint.Taxonomy.ContentTypeSync"/>
  </ds:schemaRefs>
</ds:datastoreItem>
</file>

<file path=customXml/itemProps5.xml><?xml version="1.0" encoding="utf-8"?>
<ds:datastoreItem xmlns:ds="http://schemas.openxmlformats.org/officeDocument/2006/customXml" ds:itemID="{81E15E60-297F-4A37-9942-688DC8C7D9E0}">
  <ds:schemaRefs>
    <ds:schemaRef ds:uri="http://schemas.microsoft.com/office/2006/metadata/longProperties"/>
  </ds:schemaRefs>
</ds:datastoreItem>
</file>

<file path=customXml/itemProps6.xml><?xml version="1.0" encoding="utf-8"?>
<ds:datastoreItem xmlns:ds="http://schemas.openxmlformats.org/officeDocument/2006/customXml" ds:itemID="{D87215B1-C5D4-4D32-BE3F-A419B6503134}">
  <ds:schemaRefs>
    <ds:schemaRef ds:uri="http://schemas.microsoft.com/sharepoint/v3/contenttype/forms"/>
  </ds:schemaRefs>
</ds:datastoreItem>
</file>

<file path=customXml/itemProps7.xml><?xml version="1.0" encoding="utf-8"?>
<ds:datastoreItem xmlns:ds="http://schemas.openxmlformats.org/officeDocument/2006/customXml" ds:itemID="{B31517F7-D7C6-459A-B9B7-87822A459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1654</TotalTime>
  <Pages>5</Pages>
  <Words>1087</Words>
  <Characters>6199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Aidin Razavi</dc:creator>
  <cp:keywords/>
  <dc:description/>
  <cp:lastModifiedBy>Aurelian Bria</cp:lastModifiedBy>
  <cp:revision>144</cp:revision>
  <dcterms:created xsi:type="dcterms:W3CDTF">2018-07-31T08:40:00Z</dcterms:created>
  <dcterms:modified xsi:type="dcterms:W3CDTF">2018-08-10T15:36:00Z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e2764d28-ab52-4b93-80b7-779a8d1b0389</vt:lpwstr>
  </property>
  <property fmtid="{D5CDD505-2E9C-101B-9397-08002B2CF9AE}" pid="13" name="_dlc_DocId">
    <vt:lpwstr>5NUHHDQN7SK2-1476151046-24968</vt:lpwstr>
  </property>
  <property fmtid="{D5CDD505-2E9C-101B-9397-08002B2CF9AE}" pid="14" name="_dlc_DocIdUrl">
    <vt:lpwstr>https://ericsson.sharepoint.com/sites/star/_layouts/15/DocIdRedir.aspx?ID=5NUHHDQN7SK2-1476151046-24968, 5NUHHDQN7SK2-1476151046-24968</vt:lpwstr>
  </property>
</Properties>
</file>